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3557A" w14:textId="1324B3B7" w:rsidR="00483AC1" w:rsidRDefault="00DF1DB6" w:rsidP="00647303">
      <w:pPr>
        <w:pStyle w:val="Heading2"/>
        <w:jc w:val="center"/>
        <w:rPr>
          <w:b/>
          <w:bCs/>
        </w:rPr>
      </w:pPr>
      <w:r>
        <w:rPr>
          <w:noProof/>
        </w:rPr>
        <mc:AlternateContent>
          <mc:Choice Requires="wps">
            <w:drawing>
              <wp:anchor distT="0" distB="0" distL="114300" distR="114300" simplePos="0" relativeHeight="251660288" behindDoc="0" locked="0" layoutInCell="1" allowOverlap="1" wp14:anchorId="5ECDDDAC" wp14:editId="621ACF86">
                <wp:simplePos x="0" y="0"/>
                <wp:positionH relativeFrom="column">
                  <wp:posOffset>-337820</wp:posOffset>
                </wp:positionH>
                <wp:positionV relativeFrom="paragraph">
                  <wp:posOffset>-76200</wp:posOffset>
                </wp:positionV>
                <wp:extent cx="2933065" cy="842010"/>
                <wp:effectExtent l="0" t="0" r="635" b="0"/>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933065" cy="842010"/>
                        </a:xfrm>
                        <a:prstGeom prst="rect">
                          <a:avLst/>
                        </a:prstGeom>
                        <a:solidFill>
                          <a:schemeClr val="bg1">
                            <a:lumMod val="95000"/>
                          </a:schemeClr>
                        </a:solidFill>
                        <a:ln w="6350">
                          <a:noFill/>
                        </a:ln>
                      </wps:spPr>
                      <wps:txbx>
                        <w:txbxContent>
                          <w:p w14:paraId="304452BA" w14:textId="28C6550D" w:rsidR="00483AC1" w:rsidRPr="004A3982" w:rsidRDefault="00483AC1" w:rsidP="00483AC1">
                            <w:pPr>
                              <w:pStyle w:val="Heading1"/>
                            </w:pPr>
                            <w:r w:rsidRPr="004A3982">
                              <w:t>CFLRP 10 Year Results and Lessons Learned Summary Series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DDDAC" id="_x0000_t202" coordsize="21600,21600" o:spt="202" path="m,l,21600r21600,l21600,xe">
                <v:stroke joinstyle="miter"/>
                <v:path gradientshapeok="t" o:connecttype="rect"/>
              </v:shapetype>
              <v:shape id="Text Box 7" o:spid="_x0000_s1026" type="#_x0000_t202" style="position:absolute;left:0;text-align:left;margin-left:-26.6pt;margin-top:-6pt;width:230.95pt;height:6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" fillcolor="#f2f2f2 [3052]" stroked="f" strokeweight=".5pt">
                <v:textbox>
                  <w:txbxContent>
                    <w:p w14:paraId="304452BA" w14:textId="28C6550D" w:rsidR="00483AC1" w:rsidRPr="004A3982" w:rsidRDefault="00483AC1" w:rsidP="00483AC1">
                      <w:pPr>
                        <w:pStyle w:val="Heading1"/>
                      </w:pPr>
                      <w:r w:rsidRPr="004A3982">
                        <w:t>CFLRP 10 Year Results and Lessons Learned Summary Series</w:t>
                      </w:r>
                    </w:p>
                  </w:txbxContent>
                </v:textbox>
              </v:shape>
            </w:pict>
          </mc:Fallback>
        </mc:AlternateContent>
      </w:r>
      <w:r>
        <w:rPr>
          <w:b/>
          <w:bCs/>
          <w:noProof/>
        </w:rPr>
        <w:drawing>
          <wp:anchor distT="0" distB="0" distL="114300" distR="114300" simplePos="0" relativeHeight="251658240" behindDoc="1" locked="0" layoutInCell="1" allowOverlap="1" wp14:anchorId="0E8C05FA" wp14:editId="39982C16">
            <wp:simplePos x="0" y="0"/>
            <wp:positionH relativeFrom="margin">
              <wp:posOffset>781050</wp:posOffset>
            </wp:positionH>
            <wp:positionV relativeFrom="paragraph">
              <wp:posOffset>-361950</wp:posOffset>
            </wp:positionV>
            <wp:extent cx="5447665" cy="4086225"/>
            <wp:effectExtent l="0" t="0" r="635"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hutes Collaborative Forest OR.jpg"/>
                    <pic:cNvPicPr/>
                  </pic:nvPicPr>
                  <pic:blipFill>
                    <a:blip r:embed="rId8">
                      <a:extLst>
                        <a:ext uri="{28A0092B-C50C-407E-A947-70E740481C1C}">
                          <a14:useLocalDpi xmlns:a14="http://schemas.microsoft.com/office/drawing/2010/main" val="0"/>
                        </a:ext>
                      </a:extLst>
                    </a:blip>
                    <a:stretch>
                      <a:fillRect/>
                    </a:stretch>
                  </pic:blipFill>
                  <pic:spPr>
                    <a:xfrm>
                      <a:off x="0" y="0"/>
                      <a:ext cx="5447665" cy="4086225"/>
                    </a:xfrm>
                    <a:prstGeom prst="rect">
                      <a:avLst/>
                    </a:prstGeom>
                  </pic:spPr>
                </pic:pic>
              </a:graphicData>
            </a:graphic>
            <wp14:sizeRelH relativeFrom="page">
              <wp14:pctWidth>0</wp14:pctWidth>
            </wp14:sizeRelH>
            <wp14:sizeRelV relativeFrom="page">
              <wp14:pctHeight>0</wp14:pctHeight>
            </wp14:sizeRelV>
          </wp:anchor>
        </w:drawing>
      </w:r>
      <w:r w:rsidRPr="00C9521D">
        <w:rPr>
          <w:b/>
          <w:bCs/>
          <w:noProof/>
        </w:rPr>
        <mc:AlternateContent>
          <mc:Choice Requires="wps">
            <w:drawing>
              <wp:anchor distT="45720" distB="45720" distL="114300" distR="114300" simplePos="0" relativeHeight="251665408" behindDoc="0" locked="0" layoutInCell="1" allowOverlap="1" wp14:anchorId="0BAC3773" wp14:editId="1DE00AC1">
                <wp:simplePos x="0" y="0"/>
                <wp:positionH relativeFrom="column">
                  <wp:posOffset>3667125</wp:posOffset>
                </wp:positionH>
                <wp:positionV relativeFrom="paragraph">
                  <wp:posOffset>3475355</wp:posOffset>
                </wp:positionV>
                <wp:extent cx="2571750" cy="238125"/>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38125"/>
                        </a:xfrm>
                        <a:prstGeom prst="rect">
                          <a:avLst/>
                        </a:prstGeom>
                        <a:noFill/>
                        <a:ln w="9525">
                          <a:noFill/>
                          <a:miter lim="800000"/>
                          <a:headEnd/>
                          <a:tailEnd/>
                        </a:ln>
                      </wps:spPr>
                      <wps:txbx>
                        <w:txbxContent>
                          <w:p w14:paraId="27FC5A97" w14:textId="31D4F6C8" w:rsidR="00C9521D" w:rsidRPr="00C9521D" w:rsidRDefault="00290428" w:rsidP="00C9521D">
                            <w:pPr>
                              <w:jc w:val="right"/>
                              <w:rPr>
                                <w:color w:val="FFFFFF" w:themeColor="background1"/>
                                <w:sz w:val="18"/>
                                <w:szCs w:val="18"/>
                              </w:rPr>
                            </w:pPr>
                            <w:r>
                              <w:rPr>
                                <w:color w:val="FFFFFF" w:themeColor="background1"/>
                                <w:sz w:val="18"/>
                                <w:szCs w:val="18"/>
                              </w:rPr>
                              <w:t>Four Forest Restoration Initiative, 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C3773" id="_x0000_s1027" type="#_x0000_t202" style="position:absolute;left:0;text-align:left;margin-left:288.75pt;margin-top:273.65pt;width:202.5pt;height:1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" filled="f" stroked="f">
                <v:textbox>
                  <w:txbxContent>
                    <w:p w14:paraId="27FC5A97" w14:textId="31D4F6C8" w:rsidR="00C9521D" w:rsidRPr="00C9521D" w:rsidRDefault="00290428" w:rsidP="00C9521D">
                      <w:pPr>
                        <w:jc w:val="right"/>
                        <w:rPr>
                          <w:color w:val="FFFFFF" w:themeColor="background1"/>
                          <w:sz w:val="18"/>
                          <w:szCs w:val="18"/>
                        </w:rPr>
                      </w:pPr>
                      <w:r>
                        <w:rPr>
                          <w:color w:val="FFFFFF" w:themeColor="background1"/>
                          <w:sz w:val="18"/>
                          <w:szCs w:val="18"/>
                        </w:rPr>
                        <w:t>Four Forest Restoration Initiative, AZ</w:t>
                      </w:r>
                    </w:p>
                  </w:txbxContent>
                </v:textbox>
                <w10:wrap type="square"/>
              </v:shape>
            </w:pict>
          </mc:Fallback>
        </mc:AlternateContent>
      </w:r>
    </w:p>
    <w:p w14:paraId="5BA7732F" w14:textId="7EBEC876" w:rsidR="00483AC1" w:rsidRDefault="00483AC1" w:rsidP="00647303">
      <w:pPr>
        <w:pStyle w:val="Heading2"/>
        <w:jc w:val="center"/>
        <w:rPr>
          <w:b/>
          <w:bCs/>
        </w:rPr>
      </w:pPr>
    </w:p>
    <w:p w14:paraId="490F3CC4" w14:textId="303BF5D0" w:rsidR="00483AC1" w:rsidRDefault="00483AC1" w:rsidP="00647303">
      <w:pPr>
        <w:pStyle w:val="Heading2"/>
        <w:jc w:val="center"/>
        <w:rPr>
          <w:b/>
          <w:bCs/>
        </w:rPr>
      </w:pPr>
    </w:p>
    <w:p w14:paraId="1D934EE1" w14:textId="55B4C6F9" w:rsidR="00483AC1" w:rsidRDefault="00483AC1" w:rsidP="00647303">
      <w:pPr>
        <w:pStyle w:val="Heading2"/>
        <w:jc w:val="center"/>
        <w:rPr>
          <w:b/>
          <w:bCs/>
        </w:rPr>
      </w:pPr>
    </w:p>
    <w:p w14:paraId="0AE6E316" w14:textId="0785063B" w:rsidR="00483AC1" w:rsidRDefault="00483AC1" w:rsidP="00647303">
      <w:pPr>
        <w:pStyle w:val="Heading2"/>
        <w:jc w:val="center"/>
        <w:rPr>
          <w:b/>
          <w:bCs/>
        </w:rPr>
      </w:pPr>
      <w:bookmarkStart w:id="0" w:name="_GoBack"/>
      <w:bookmarkEnd w:id="0"/>
    </w:p>
    <w:p w14:paraId="31E128AE" w14:textId="7B4A7E0C" w:rsidR="00483AC1" w:rsidRDefault="00483AC1" w:rsidP="00647303">
      <w:pPr>
        <w:pStyle w:val="Heading2"/>
        <w:jc w:val="center"/>
        <w:rPr>
          <w:b/>
          <w:bCs/>
        </w:rPr>
      </w:pPr>
    </w:p>
    <w:p w14:paraId="7AC58FFF" w14:textId="72EDA96A" w:rsidR="00483AC1" w:rsidRDefault="00483AC1" w:rsidP="00647303">
      <w:pPr>
        <w:pStyle w:val="Heading2"/>
        <w:jc w:val="center"/>
        <w:rPr>
          <w:b/>
          <w:bCs/>
        </w:rPr>
      </w:pPr>
    </w:p>
    <w:p w14:paraId="0650FC4E" w14:textId="50E01FBA" w:rsidR="00483AC1" w:rsidRDefault="00483AC1" w:rsidP="00647303">
      <w:pPr>
        <w:pStyle w:val="Heading2"/>
        <w:jc w:val="center"/>
        <w:rPr>
          <w:b/>
          <w:bCs/>
        </w:rPr>
      </w:pPr>
    </w:p>
    <w:p w14:paraId="5752D99A" w14:textId="7FBA7076" w:rsidR="00483AC1" w:rsidRDefault="00483AC1" w:rsidP="00647303">
      <w:pPr>
        <w:pStyle w:val="Heading2"/>
        <w:jc w:val="center"/>
        <w:rPr>
          <w:b/>
          <w:bCs/>
        </w:rPr>
      </w:pPr>
    </w:p>
    <w:p w14:paraId="6EC11E04" w14:textId="760BC32E" w:rsidR="00483AC1" w:rsidRDefault="00483AC1" w:rsidP="00647303">
      <w:pPr>
        <w:pStyle w:val="Heading2"/>
        <w:jc w:val="center"/>
        <w:rPr>
          <w:b/>
          <w:bCs/>
        </w:rPr>
      </w:pPr>
    </w:p>
    <w:p w14:paraId="5B79C578" w14:textId="7E0A0CB1" w:rsidR="00483AC1" w:rsidRDefault="00483AC1" w:rsidP="00647303">
      <w:pPr>
        <w:pStyle w:val="Heading2"/>
        <w:jc w:val="center"/>
        <w:rPr>
          <w:b/>
          <w:bCs/>
        </w:rPr>
      </w:pPr>
    </w:p>
    <w:p w14:paraId="41AFF746" w14:textId="14987BC2" w:rsidR="00483AC1" w:rsidRDefault="00483AC1" w:rsidP="00647303">
      <w:pPr>
        <w:pStyle w:val="Heading2"/>
        <w:jc w:val="center"/>
        <w:rPr>
          <w:b/>
          <w:bCs/>
        </w:rPr>
      </w:pPr>
    </w:p>
    <w:p w14:paraId="2DAC8200" w14:textId="020F234A" w:rsidR="00483AC1" w:rsidRDefault="00DF1DB6" w:rsidP="00647303">
      <w:pPr>
        <w:pStyle w:val="Heading2"/>
        <w:jc w:val="center"/>
        <w:rPr>
          <w:b/>
          <w:bCs/>
        </w:rPr>
      </w:pPr>
      <w:r>
        <w:rPr>
          <w:noProof/>
        </w:rPr>
        <mc:AlternateContent>
          <mc:Choice Requires="wps">
            <w:drawing>
              <wp:anchor distT="0" distB="0" distL="114300" distR="114300" simplePos="0" relativeHeight="251662336" behindDoc="0" locked="0" layoutInCell="1" allowOverlap="1" wp14:anchorId="050FC0E1" wp14:editId="370961E2">
                <wp:simplePos x="0" y="0"/>
                <wp:positionH relativeFrom="margin">
                  <wp:posOffset>0</wp:posOffset>
                </wp:positionH>
                <wp:positionV relativeFrom="paragraph">
                  <wp:posOffset>95250</wp:posOffset>
                </wp:positionV>
                <wp:extent cx="4083685" cy="810260"/>
                <wp:effectExtent l="0" t="0" r="0" b="889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083685" cy="810260"/>
                        </a:xfrm>
                        <a:prstGeom prst="rect">
                          <a:avLst/>
                        </a:prstGeom>
                        <a:solidFill>
                          <a:schemeClr val="tx2">
                            <a:lumMod val="75000"/>
                          </a:schemeClr>
                        </a:solidFill>
                        <a:ln w="6350">
                          <a:noFill/>
                        </a:ln>
                      </wps:spPr>
                      <wps:txbx>
                        <w:txbxContent>
                          <w:p w14:paraId="1885126A" w14:textId="57CC3A32" w:rsidR="00483AC1" w:rsidRPr="004A3982" w:rsidRDefault="00290428" w:rsidP="00483AC1">
                            <w:pPr>
                              <w:pStyle w:val="Subtitle"/>
                              <w:rPr>
                                <w:rFonts w:ascii="Calibri" w:hAnsi="Calibri" w:cs="Calibri"/>
                                <w:sz w:val="52"/>
                                <w:szCs w:val="52"/>
                              </w:rPr>
                            </w:pPr>
                            <w:r>
                              <w:rPr>
                                <w:rFonts w:ascii="Calibri" w:hAnsi="Calibri" w:cs="Calibri"/>
                                <w:sz w:val="52"/>
                                <w:szCs w:val="52"/>
                              </w:rPr>
                              <w:t>Community Benefits</w:t>
                            </w:r>
                            <w:r w:rsidR="00483AC1" w:rsidRPr="004A3982">
                              <w:rPr>
                                <w:rFonts w:ascii="Calibri" w:hAnsi="Calibri" w:cs="Calibri"/>
                                <w:sz w:val="52"/>
                                <w:szCs w:val="5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0FC0E1" id="Text Box 6" o:spid="_x0000_s1028" type="#_x0000_t202" style="position:absolute;left:0;text-align:left;margin-left:0;margin-top:7.5pt;width:321.55pt;height:63.8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" fillcolor="#323e4f [2415]" stroked="f" strokeweight=".5pt">
                <v:textbox>
                  <w:txbxContent>
                    <w:p w14:paraId="1885126A" w14:textId="57CC3A32" w:rsidR="00483AC1" w:rsidRPr="004A3982" w:rsidRDefault="00290428" w:rsidP="00483AC1">
                      <w:pPr>
                        <w:pStyle w:val="Subtitle"/>
                        <w:rPr>
                          <w:rFonts w:ascii="Calibri" w:hAnsi="Calibri" w:cs="Calibri"/>
                          <w:sz w:val="52"/>
                          <w:szCs w:val="52"/>
                        </w:rPr>
                      </w:pPr>
                      <w:r>
                        <w:rPr>
                          <w:rFonts w:ascii="Calibri" w:hAnsi="Calibri" w:cs="Calibri"/>
                          <w:sz w:val="52"/>
                          <w:szCs w:val="52"/>
                        </w:rPr>
                        <w:t>Community Benefits</w:t>
                      </w:r>
                      <w:r w:rsidR="00483AC1" w:rsidRPr="004A3982">
                        <w:rPr>
                          <w:rFonts w:ascii="Calibri" w:hAnsi="Calibri" w:cs="Calibri"/>
                          <w:sz w:val="52"/>
                          <w:szCs w:val="52"/>
                        </w:rPr>
                        <w:t xml:space="preserve"> </w:t>
                      </w:r>
                    </w:p>
                  </w:txbxContent>
                </v:textbox>
                <w10:wrap anchorx="margin"/>
              </v:shape>
            </w:pict>
          </mc:Fallback>
        </mc:AlternateContent>
      </w:r>
    </w:p>
    <w:p w14:paraId="0B8B8706" w14:textId="33F2C438" w:rsidR="00483AC1" w:rsidRDefault="00483AC1" w:rsidP="00647303">
      <w:pPr>
        <w:pStyle w:val="Heading2"/>
        <w:jc w:val="center"/>
        <w:rPr>
          <w:b/>
          <w:bCs/>
        </w:rPr>
      </w:pPr>
    </w:p>
    <w:p w14:paraId="42B0B3EC" w14:textId="54E8D693" w:rsidR="00483AC1" w:rsidRDefault="00483AC1" w:rsidP="00647303">
      <w:pPr>
        <w:pStyle w:val="Heading2"/>
        <w:jc w:val="center"/>
        <w:rPr>
          <w:b/>
          <w:bCs/>
        </w:rPr>
      </w:pPr>
    </w:p>
    <w:p w14:paraId="5D17423B" w14:textId="77777777" w:rsidR="00290428" w:rsidRDefault="00290428" w:rsidP="00A651A1">
      <w:pPr>
        <w:rPr>
          <w:i/>
          <w:iCs/>
          <w:sz w:val="26"/>
          <w:szCs w:val="26"/>
        </w:rPr>
      </w:pPr>
    </w:p>
    <w:p w14:paraId="738B0ADF" w14:textId="2BC91AD6" w:rsidR="00647303" w:rsidRPr="00483AC1" w:rsidRDefault="00647303" w:rsidP="00A651A1">
      <w:pPr>
        <w:rPr>
          <w:i/>
          <w:iCs/>
          <w:sz w:val="26"/>
          <w:szCs w:val="26"/>
        </w:rPr>
      </w:pPr>
      <w:r w:rsidRPr="00483AC1">
        <w:rPr>
          <w:i/>
          <w:iCs/>
          <w:sz w:val="26"/>
          <w:szCs w:val="26"/>
        </w:rPr>
        <w:t xml:space="preserve">The purpose </w:t>
      </w:r>
      <w:r w:rsidR="00483AC1" w:rsidRPr="00483AC1">
        <w:rPr>
          <w:i/>
          <w:iCs/>
          <w:sz w:val="26"/>
          <w:szCs w:val="26"/>
        </w:rPr>
        <w:t>of</w:t>
      </w:r>
      <w:r w:rsidRPr="00483AC1">
        <w:rPr>
          <w:i/>
          <w:iCs/>
          <w:sz w:val="26"/>
          <w:szCs w:val="26"/>
        </w:rPr>
        <w:t xml:space="preserve"> this document is to summarize the results and lessons learned from the “</w:t>
      </w:r>
      <w:r w:rsidR="00290428">
        <w:rPr>
          <w:i/>
          <w:iCs/>
          <w:sz w:val="26"/>
          <w:szCs w:val="26"/>
        </w:rPr>
        <w:t>Community Benefits</w:t>
      </w:r>
      <w:r w:rsidRPr="00483AC1">
        <w:rPr>
          <w:i/>
          <w:iCs/>
          <w:sz w:val="26"/>
          <w:szCs w:val="26"/>
        </w:rPr>
        <w:t>” theme in the</w:t>
      </w:r>
      <w:r w:rsidR="00483AC1">
        <w:rPr>
          <w:i/>
          <w:iCs/>
          <w:sz w:val="26"/>
          <w:szCs w:val="26"/>
        </w:rPr>
        <w:t xml:space="preserve"> </w:t>
      </w:r>
      <w:r w:rsidR="00B82135">
        <w:rPr>
          <w:i/>
          <w:iCs/>
          <w:sz w:val="26"/>
          <w:szCs w:val="26"/>
        </w:rPr>
        <w:t>comprehensive</w:t>
      </w:r>
      <w:r w:rsidRPr="00483AC1">
        <w:rPr>
          <w:i/>
          <w:iCs/>
          <w:sz w:val="26"/>
          <w:szCs w:val="26"/>
        </w:rPr>
        <w:t xml:space="preserve"> </w:t>
      </w:r>
      <w:hyperlink r:id="rId9" w:history="1">
        <w:r w:rsidRPr="00483AC1">
          <w:rPr>
            <w:rStyle w:val="Hyperlink"/>
            <w:i/>
            <w:iCs/>
            <w:sz w:val="26"/>
            <w:szCs w:val="26"/>
          </w:rPr>
          <w:t>Collaborative Forest Landscape Restoration Program (CFLRP) 10 Years of Results and Lessons Learned</w:t>
        </w:r>
      </w:hyperlink>
      <w:r w:rsidRPr="00483AC1">
        <w:rPr>
          <w:i/>
          <w:iCs/>
          <w:sz w:val="26"/>
          <w:szCs w:val="26"/>
        </w:rPr>
        <w:t xml:space="preserve"> </w:t>
      </w:r>
      <w:r w:rsidR="00483AC1">
        <w:rPr>
          <w:i/>
          <w:iCs/>
          <w:sz w:val="26"/>
          <w:szCs w:val="26"/>
        </w:rPr>
        <w:t>report.</w:t>
      </w:r>
      <w:r w:rsidRPr="00483AC1">
        <w:rPr>
          <w:i/>
          <w:iCs/>
          <w:sz w:val="26"/>
          <w:szCs w:val="26"/>
        </w:rPr>
        <w:t xml:space="preserve"> </w:t>
      </w:r>
      <w:r w:rsidR="00B82135">
        <w:rPr>
          <w:i/>
          <w:iCs/>
          <w:sz w:val="26"/>
          <w:szCs w:val="26"/>
        </w:rPr>
        <w:t xml:space="preserve">Please review the report for details and resources. </w:t>
      </w:r>
    </w:p>
    <w:p w14:paraId="0B10B586" w14:textId="77777777" w:rsidR="00483AC1" w:rsidRDefault="00483AC1" w:rsidP="00647303">
      <w:pPr>
        <w:pStyle w:val="Heading2"/>
        <w:rPr>
          <w:b/>
          <w:bCs/>
        </w:rPr>
      </w:pPr>
    </w:p>
    <w:p w14:paraId="632D7188" w14:textId="77777777" w:rsidR="00290428" w:rsidRPr="00647303" w:rsidRDefault="00290428" w:rsidP="00290428">
      <w:pPr>
        <w:pStyle w:val="Heading2"/>
        <w:rPr>
          <w:b/>
          <w:bCs/>
        </w:rPr>
      </w:pPr>
      <w:r w:rsidRPr="00647303">
        <w:rPr>
          <w:b/>
          <w:bCs/>
        </w:rPr>
        <w:t>Overview</w:t>
      </w:r>
    </w:p>
    <w:p w14:paraId="61696790" w14:textId="6150BC06" w:rsidR="00290428" w:rsidRDefault="00290428" w:rsidP="00290428">
      <w:pPr>
        <w:pStyle w:val="Heading2"/>
        <w:rPr>
          <w:rFonts w:asciiTheme="minorHAnsi" w:eastAsiaTheme="minorHAnsi" w:hAnsiTheme="minorHAnsi" w:cstheme="minorBidi"/>
          <w:color w:val="auto"/>
          <w:sz w:val="24"/>
          <w:szCs w:val="24"/>
        </w:rPr>
      </w:pPr>
      <w:r w:rsidRPr="005D31AF">
        <w:rPr>
          <w:rFonts w:asciiTheme="minorHAnsi" w:eastAsiaTheme="minorHAnsi" w:hAnsiTheme="minorHAnsi" w:cstheme="minorBidi"/>
          <w:color w:val="auto"/>
          <w:sz w:val="24"/>
          <w:szCs w:val="24"/>
        </w:rPr>
        <w:t xml:space="preserve">CFLRP projects emphasize the connection between restoration, economic stability, and the social values communities hold. The community connection includes support for the forest products business and infrastructure, recreation and tourism, and engaging youth and the public in the management of their public lands. CFLRP participants commonly cite relationship building, locally retained contracts, partnership composition, job training opportunities, and cross institutional agreements as key community benefits. CFLRP </w:t>
      </w:r>
      <w:r w:rsidR="000975B0">
        <w:rPr>
          <w:rFonts w:asciiTheme="minorHAnsi" w:eastAsiaTheme="minorHAnsi" w:hAnsiTheme="minorHAnsi" w:cstheme="minorBidi"/>
          <w:color w:val="auto"/>
          <w:sz w:val="24"/>
          <w:szCs w:val="24"/>
        </w:rPr>
        <w:t>p</w:t>
      </w:r>
      <w:r w:rsidRPr="005D31AF">
        <w:rPr>
          <w:rFonts w:asciiTheme="minorHAnsi" w:eastAsiaTheme="minorHAnsi" w:hAnsiTheme="minorHAnsi" w:cstheme="minorBidi"/>
          <w:color w:val="auto"/>
          <w:sz w:val="24"/>
          <w:szCs w:val="24"/>
        </w:rPr>
        <w:t>rojects create positive shifts in local support and provide capacity for restoration work.</w:t>
      </w:r>
    </w:p>
    <w:p w14:paraId="23B6F481" w14:textId="77777777" w:rsidR="00290428" w:rsidRDefault="00290428" w:rsidP="00290428">
      <w:pPr>
        <w:pStyle w:val="Heading2"/>
        <w:rPr>
          <w:rFonts w:asciiTheme="minorHAnsi" w:eastAsiaTheme="minorHAnsi" w:hAnsiTheme="minorHAnsi" w:cstheme="minorBidi"/>
          <w:color w:val="auto"/>
          <w:sz w:val="24"/>
          <w:szCs w:val="24"/>
        </w:rPr>
      </w:pPr>
    </w:p>
    <w:p w14:paraId="3CCEAFA3" w14:textId="6BE9CB4D" w:rsidR="00290428" w:rsidRPr="00647303" w:rsidRDefault="000975B0" w:rsidP="00290428">
      <w:pPr>
        <w:pStyle w:val="Heading2"/>
        <w:rPr>
          <w:b/>
          <w:bCs/>
        </w:rPr>
      </w:pPr>
      <w:r>
        <w:rPr>
          <w:b/>
          <w:bCs/>
        </w:rPr>
        <w:t xml:space="preserve">Key Results and </w:t>
      </w:r>
      <w:r w:rsidR="00290428" w:rsidRPr="00647303">
        <w:rPr>
          <w:b/>
          <w:bCs/>
        </w:rPr>
        <w:t xml:space="preserve">Lessons Learned      </w:t>
      </w:r>
    </w:p>
    <w:p w14:paraId="6034D196" w14:textId="77777777" w:rsidR="00290428" w:rsidRDefault="00290428" w:rsidP="00290428">
      <w:pPr>
        <w:pStyle w:val="Heading2"/>
        <w:spacing w:line="240" w:lineRule="auto"/>
        <w:rPr>
          <w:rFonts w:asciiTheme="minorHAnsi" w:hAnsiTheme="minorHAnsi" w:cstheme="minorHAnsi"/>
          <w:b/>
          <w:bCs/>
          <w:i/>
          <w:iCs/>
          <w:color w:val="auto"/>
          <w:sz w:val="24"/>
          <w:szCs w:val="24"/>
        </w:rPr>
      </w:pPr>
      <w:bookmarkStart w:id="1" w:name="_Project_Accomplishments"/>
      <w:bookmarkStart w:id="2" w:name="_Toc48740400"/>
      <w:bookmarkStart w:id="3" w:name="_Hlk40181430"/>
      <w:bookmarkEnd w:id="1"/>
      <w:r w:rsidRPr="005D31AF">
        <w:rPr>
          <w:rFonts w:asciiTheme="minorHAnsi" w:hAnsiTheme="minorHAnsi" w:cstheme="minorHAnsi"/>
          <w:b/>
          <w:bCs/>
          <w:i/>
          <w:iCs/>
          <w:color w:val="auto"/>
          <w:sz w:val="24"/>
          <w:szCs w:val="24"/>
        </w:rPr>
        <w:t xml:space="preserve">What economic and social benefits did CFLRP projects provide for, or encourage, in local communities? </w:t>
      </w:r>
    </w:p>
    <w:p w14:paraId="7BA13A06" w14:textId="77777777" w:rsidR="00441ED1" w:rsidRDefault="00441ED1" w:rsidP="00441ED1">
      <w:pPr>
        <w:pStyle w:val="NoSpacing"/>
      </w:pPr>
    </w:p>
    <w:p w14:paraId="65594B5F" w14:textId="0FAD04E3" w:rsidR="00290428" w:rsidRPr="000534AA" w:rsidRDefault="00290428" w:rsidP="00290428">
      <w:pPr>
        <w:rPr>
          <w:b/>
          <w:bCs/>
          <w:i/>
          <w:iCs/>
          <w:sz w:val="24"/>
          <w:szCs w:val="24"/>
        </w:rPr>
      </w:pPr>
      <w:r w:rsidRPr="000534AA">
        <w:rPr>
          <w:b/>
          <w:bCs/>
          <w:i/>
          <w:iCs/>
          <w:sz w:val="24"/>
          <w:szCs w:val="24"/>
        </w:rPr>
        <w:t xml:space="preserve">Relationship Building and Collaboration </w:t>
      </w:r>
    </w:p>
    <w:p w14:paraId="2DAD5A39" w14:textId="096062B1" w:rsidR="00290428" w:rsidRDefault="00290428" w:rsidP="00290428">
      <w:pPr>
        <w:pStyle w:val="ListParagraph"/>
        <w:numPr>
          <w:ilvl w:val="0"/>
          <w:numId w:val="24"/>
        </w:numPr>
        <w:rPr>
          <w:sz w:val="24"/>
          <w:szCs w:val="24"/>
        </w:rPr>
      </w:pPr>
      <w:r w:rsidRPr="005D31AF">
        <w:rPr>
          <w:sz w:val="24"/>
          <w:szCs w:val="24"/>
        </w:rPr>
        <w:t xml:space="preserve">The most common community benefit </w:t>
      </w:r>
      <w:r>
        <w:rPr>
          <w:sz w:val="24"/>
          <w:szCs w:val="24"/>
        </w:rPr>
        <w:t>CFLRP projects selected in their 2019 annual reports</w:t>
      </w:r>
      <w:r w:rsidRPr="005D31AF">
        <w:rPr>
          <w:sz w:val="24"/>
          <w:szCs w:val="24"/>
        </w:rPr>
        <w:t xml:space="preserve"> was relationship building and collaborative work. This was cited by 16 projects (70%) as a</w:t>
      </w:r>
      <w:r>
        <w:rPr>
          <w:sz w:val="24"/>
          <w:szCs w:val="24"/>
        </w:rPr>
        <w:t xml:space="preserve"> key </w:t>
      </w:r>
      <w:r w:rsidRPr="005D31AF">
        <w:rPr>
          <w:sz w:val="24"/>
          <w:szCs w:val="24"/>
        </w:rPr>
        <w:t>indicator.</w:t>
      </w:r>
    </w:p>
    <w:p w14:paraId="6E6B06F5" w14:textId="77777777" w:rsidR="00290428" w:rsidRDefault="00290428" w:rsidP="00290428">
      <w:pPr>
        <w:pStyle w:val="ListParagraph"/>
        <w:numPr>
          <w:ilvl w:val="0"/>
          <w:numId w:val="24"/>
        </w:numPr>
        <w:rPr>
          <w:sz w:val="24"/>
          <w:szCs w:val="24"/>
        </w:rPr>
      </w:pPr>
      <w:r w:rsidRPr="005D31AF">
        <w:rPr>
          <w:sz w:val="24"/>
          <w:szCs w:val="24"/>
        </w:rPr>
        <w:t xml:space="preserve">Five CFLRP projects (22%) cited public support for relevant initiatives as a community benefit. Examples of engagement that have led to good public understanding of processes and treatments include showing progress on the ground, conveying the project as an investment not a cost, keeping the management structure simple, managing expectations regarding requirements and timelines, etc. </w:t>
      </w:r>
    </w:p>
    <w:p w14:paraId="1AF6E56F" w14:textId="49D17F29" w:rsidR="00290428" w:rsidRPr="005D31AF" w:rsidRDefault="00290428" w:rsidP="00290428">
      <w:pPr>
        <w:pStyle w:val="ListParagraph"/>
        <w:numPr>
          <w:ilvl w:val="0"/>
          <w:numId w:val="24"/>
        </w:numPr>
        <w:rPr>
          <w:sz w:val="24"/>
          <w:szCs w:val="24"/>
        </w:rPr>
      </w:pPr>
      <w:r w:rsidRPr="005D31AF">
        <w:rPr>
          <w:sz w:val="24"/>
          <w:szCs w:val="24"/>
        </w:rPr>
        <w:t xml:space="preserve">Cross institutional agreements/policies have allowed CFLRP projects to accomplish various types of restoration treatments with cooperators – </w:t>
      </w:r>
      <w:r>
        <w:rPr>
          <w:sz w:val="24"/>
          <w:szCs w:val="24"/>
        </w:rPr>
        <w:t>seven</w:t>
      </w:r>
      <w:r w:rsidRPr="005D31AF">
        <w:rPr>
          <w:sz w:val="24"/>
          <w:szCs w:val="24"/>
        </w:rPr>
        <w:t xml:space="preserve"> projects (30%) selected this indicator as important for </w:t>
      </w:r>
      <w:r w:rsidRPr="005D31AF">
        <w:rPr>
          <w:sz w:val="24"/>
          <w:szCs w:val="24"/>
        </w:rPr>
        <w:lastRenderedPageBreak/>
        <w:t xml:space="preserve">their CFLRP. Partners with whom agreements have been established include universities, state agencies, federal agencies, county agencies, non-government partners. </w:t>
      </w:r>
    </w:p>
    <w:p w14:paraId="0CCC93B1" w14:textId="77777777" w:rsidR="00290428" w:rsidRPr="000534AA" w:rsidRDefault="00290428" w:rsidP="00290428">
      <w:pPr>
        <w:rPr>
          <w:b/>
          <w:bCs/>
          <w:i/>
          <w:iCs/>
          <w:sz w:val="24"/>
          <w:szCs w:val="24"/>
        </w:rPr>
      </w:pPr>
      <w:r w:rsidRPr="000534AA">
        <w:rPr>
          <w:b/>
          <w:bCs/>
          <w:i/>
          <w:iCs/>
          <w:sz w:val="24"/>
          <w:szCs w:val="24"/>
        </w:rPr>
        <w:t>Jobs and Job Training</w:t>
      </w:r>
    </w:p>
    <w:p w14:paraId="1F4AA1E7" w14:textId="40FE2184" w:rsidR="00290428" w:rsidRPr="005D31AF" w:rsidRDefault="00290428" w:rsidP="00290428">
      <w:pPr>
        <w:pStyle w:val="ListParagraph"/>
        <w:numPr>
          <w:ilvl w:val="0"/>
          <w:numId w:val="25"/>
        </w:numPr>
        <w:rPr>
          <w:sz w:val="24"/>
          <w:szCs w:val="24"/>
        </w:rPr>
      </w:pPr>
      <w:r w:rsidRPr="005D31AF">
        <w:rPr>
          <w:sz w:val="24"/>
          <w:szCs w:val="24"/>
        </w:rPr>
        <w:t xml:space="preserve">Many collaboratives identified job enrichment and community stability as key desired outcomes for their CFLRP </w:t>
      </w:r>
      <w:r w:rsidR="000975B0">
        <w:rPr>
          <w:sz w:val="24"/>
          <w:szCs w:val="24"/>
        </w:rPr>
        <w:t>p</w:t>
      </w:r>
      <w:r w:rsidRPr="005D31AF">
        <w:rPr>
          <w:sz w:val="24"/>
          <w:szCs w:val="24"/>
        </w:rPr>
        <w:t xml:space="preserve">rojects. Eight projects (35%) selected job training opportunities as a key benefit. Most of the job training opportunities were geared towards students, recent graduates and veterans through partnerships with programs such as Youth Conservation Corps and Student Conservation Association. </w:t>
      </w:r>
    </w:p>
    <w:p w14:paraId="0D31E207" w14:textId="78BC711A" w:rsidR="00290428" w:rsidRPr="005D31AF" w:rsidRDefault="00290428" w:rsidP="00290428">
      <w:pPr>
        <w:pStyle w:val="ListParagraph"/>
        <w:numPr>
          <w:ilvl w:val="0"/>
          <w:numId w:val="25"/>
        </w:numPr>
        <w:rPr>
          <w:sz w:val="24"/>
          <w:szCs w:val="24"/>
        </w:rPr>
      </w:pPr>
      <w:r w:rsidRPr="005D31AF">
        <w:rPr>
          <w:sz w:val="24"/>
          <w:szCs w:val="24"/>
        </w:rPr>
        <w:t>CFLRP Project activities supported an average 5,440 jobs annually (full and part time jobs).</w:t>
      </w:r>
    </w:p>
    <w:p w14:paraId="4DB8E87B" w14:textId="77777777" w:rsidR="00290428" w:rsidRPr="000534AA" w:rsidRDefault="00290428" w:rsidP="00290428">
      <w:pPr>
        <w:spacing w:after="0"/>
        <w:rPr>
          <w:b/>
          <w:bCs/>
          <w:i/>
          <w:iCs/>
          <w:sz w:val="24"/>
          <w:szCs w:val="24"/>
        </w:rPr>
      </w:pPr>
      <w:bookmarkStart w:id="4" w:name="_What_role_does"/>
      <w:bookmarkStart w:id="5" w:name="_Toc48661661"/>
      <w:bookmarkStart w:id="6" w:name="_Toc48740485"/>
      <w:bookmarkStart w:id="7" w:name="_Toc48661660"/>
      <w:bookmarkStart w:id="8" w:name="_Toc48740484"/>
      <w:bookmarkEnd w:id="4"/>
      <w:r w:rsidRPr="000534AA">
        <w:rPr>
          <w:b/>
          <w:bCs/>
          <w:i/>
          <w:iCs/>
          <w:sz w:val="24"/>
          <w:szCs w:val="24"/>
        </w:rPr>
        <w:t xml:space="preserve">Supporting the Local Forest Products Industry </w:t>
      </w:r>
    </w:p>
    <w:p w14:paraId="49BB8A87" w14:textId="3AF0CEB7" w:rsidR="00290428" w:rsidRDefault="00290428" w:rsidP="00290428">
      <w:pPr>
        <w:pStyle w:val="ListParagraph"/>
        <w:numPr>
          <w:ilvl w:val="0"/>
          <w:numId w:val="25"/>
        </w:numPr>
        <w:rPr>
          <w:rFonts w:cstheme="minorHAnsi"/>
          <w:sz w:val="24"/>
          <w:szCs w:val="24"/>
        </w:rPr>
      </w:pPr>
      <w:r w:rsidRPr="005D31AF">
        <w:rPr>
          <w:rFonts w:cstheme="minorHAnsi"/>
          <w:sz w:val="24"/>
          <w:szCs w:val="24"/>
        </w:rPr>
        <w:t xml:space="preserve">Ten of the CFLRP projects (44%) selected locally retained contracts as a key community benefits indicator. Project-level monitoring indicates mixed results in terms of local contract </w:t>
      </w:r>
      <w:proofErr w:type="gramStart"/>
      <w:r w:rsidRPr="005D31AF">
        <w:rPr>
          <w:rFonts w:cstheme="minorHAnsi"/>
          <w:sz w:val="24"/>
          <w:szCs w:val="24"/>
        </w:rPr>
        <w:t>capture</w:t>
      </w:r>
      <w:r>
        <w:rPr>
          <w:rFonts w:cstheme="minorHAnsi"/>
          <w:sz w:val="24"/>
          <w:szCs w:val="24"/>
        </w:rPr>
        <w:t>.</w:t>
      </w:r>
      <w:r w:rsidRPr="005D31AF">
        <w:rPr>
          <w:rFonts w:cstheme="minorHAnsi"/>
          <w:sz w:val="24"/>
          <w:szCs w:val="24"/>
        </w:rPr>
        <w:t>.</w:t>
      </w:r>
      <w:proofErr w:type="gramEnd"/>
      <w:r w:rsidRPr="005D31AF">
        <w:rPr>
          <w:rFonts w:cstheme="minorHAnsi"/>
          <w:sz w:val="24"/>
          <w:szCs w:val="24"/>
        </w:rPr>
        <w:t xml:space="preserve"> </w:t>
      </w:r>
    </w:p>
    <w:p w14:paraId="3ABE40B3" w14:textId="77777777" w:rsidR="00290428" w:rsidRDefault="00290428" w:rsidP="00290428">
      <w:pPr>
        <w:pStyle w:val="ListParagraph"/>
        <w:numPr>
          <w:ilvl w:val="0"/>
          <w:numId w:val="25"/>
        </w:numPr>
        <w:rPr>
          <w:rFonts w:cstheme="minorHAnsi"/>
          <w:sz w:val="24"/>
          <w:szCs w:val="24"/>
        </w:rPr>
      </w:pPr>
      <w:r>
        <w:rPr>
          <w:rFonts w:cstheme="minorHAnsi"/>
          <w:sz w:val="24"/>
          <w:szCs w:val="24"/>
        </w:rPr>
        <w:t>Forest products coming from</w:t>
      </w:r>
      <w:r w:rsidRPr="005D31AF">
        <w:rPr>
          <w:rFonts w:cstheme="minorHAnsi"/>
          <w:sz w:val="24"/>
          <w:szCs w:val="24"/>
        </w:rPr>
        <w:t xml:space="preserve"> the CFLRP area help </w:t>
      </w:r>
      <w:r>
        <w:rPr>
          <w:rFonts w:cstheme="minorHAnsi"/>
          <w:sz w:val="24"/>
          <w:szCs w:val="24"/>
        </w:rPr>
        <w:t xml:space="preserve">support the forest </w:t>
      </w:r>
      <w:proofErr w:type="gramStart"/>
      <w:r>
        <w:rPr>
          <w:rFonts w:cstheme="minorHAnsi"/>
          <w:sz w:val="24"/>
          <w:szCs w:val="24"/>
        </w:rPr>
        <w:t>products industry, and</w:t>
      </w:r>
      <w:proofErr w:type="gramEnd"/>
      <w:r>
        <w:rPr>
          <w:rFonts w:cstheme="minorHAnsi"/>
          <w:sz w:val="24"/>
          <w:szCs w:val="24"/>
        </w:rPr>
        <w:t xml:space="preserve"> can</w:t>
      </w:r>
      <w:r w:rsidRPr="005D31AF">
        <w:rPr>
          <w:rFonts w:cstheme="minorHAnsi"/>
          <w:sz w:val="24"/>
          <w:szCs w:val="24"/>
        </w:rPr>
        <w:t xml:space="preserve"> result in multiple timber sales and the sales may take several years to complete.  This steady flow of timber from Forest Service sales combined with timber coming from other ownerships is critical to maintaining the local timber infrastructure and supporting local timber jobs.  </w:t>
      </w:r>
    </w:p>
    <w:p w14:paraId="2E58ADFF" w14:textId="77777777" w:rsidR="00290428" w:rsidRDefault="00290428" w:rsidP="00290428">
      <w:pPr>
        <w:pStyle w:val="Heading2"/>
        <w:rPr>
          <w:rFonts w:asciiTheme="minorHAnsi" w:hAnsiTheme="minorHAnsi" w:cstheme="minorHAnsi"/>
          <w:b/>
          <w:bCs/>
          <w:i/>
          <w:iCs/>
          <w:color w:val="auto"/>
          <w:sz w:val="24"/>
          <w:szCs w:val="24"/>
        </w:rPr>
      </w:pPr>
      <w:r>
        <w:rPr>
          <w:rFonts w:asciiTheme="minorHAnsi" w:hAnsiTheme="minorHAnsi" w:cstheme="minorHAnsi"/>
          <w:b/>
          <w:bCs/>
          <w:i/>
          <w:iCs/>
          <w:color w:val="auto"/>
          <w:sz w:val="24"/>
          <w:szCs w:val="24"/>
        </w:rPr>
        <w:t>Contributions to the Recreation and Tourism Economy</w:t>
      </w:r>
    </w:p>
    <w:p w14:paraId="1B17E894" w14:textId="21530186" w:rsidR="00290428" w:rsidRPr="000534AA" w:rsidRDefault="00290428" w:rsidP="00290428">
      <w:pPr>
        <w:pStyle w:val="ListParagraph"/>
        <w:numPr>
          <w:ilvl w:val="0"/>
          <w:numId w:val="25"/>
        </w:numPr>
        <w:rPr>
          <w:rFonts w:cstheme="minorHAnsi"/>
          <w:sz w:val="24"/>
          <w:szCs w:val="24"/>
        </w:rPr>
      </w:pPr>
      <w:r w:rsidRPr="000534AA">
        <w:rPr>
          <w:rFonts w:cstheme="minorHAnsi"/>
          <w:sz w:val="24"/>
          <w:szCs w:val="24"/>
        </w:rPr>
        <w:t xml:space="preserve">In some cases, CFLRP projects reported that their work helped support recreation and tourism opportunities. </w:t>
      </w:r>
    </w:p>
    <w:p w14:paraId="7F42408A" w14:textId="77777777" w:rsidR="00290428" w:rsidRPr="000534AA" w:rsidRDefault="00290428" w:rsidP="00290428">
      <w:pPr>
        <w:rPr>
          <w:rFonts w:cstheme="minorHAnsi"/>
          <w:b/>
          <w:bCs/>
          <w:i/>
          <w:iCs/>
          <w:sz w:val="24"/>
          <w:szCs w:val="24"/>
        </w:rPr>
      </w:pPr>
      <w:r w:rsidRPr="000534AA">
        <w:rPr>
          <w:rFonts w:cstheme="minorHAnsi"/>
          <w:b/>
          <w:bCs/>
          <w:i/>
          <w:iCs/>
          <w:sz w:val="24"/>
          <w:szCs w:val="24"/>
        </w:rPr>
        <w:t>Tribal Connections</w:t>
      </w:r>
    </w:p>
    <w:p w14:paraId="2BB2F8FA" w14:textId="6E933B33" w:rsidR="00290428" w:rsidRPr="000534AA" w:rsidRDefault="00290428" w:rsidP="00290428">
      <w:pPr>
        <w:pStyle w:val="ListParagraph"/>
        <w:numPr>
          <w:ilvl w:val="0"/>
          <w:numId w:val="25"/>
        </w:numPr>
        <w:rPr>
          <w:rFonts w:cstheme="minorHAnsi"/>
          <w:sz w:val="24"/>
          <w:szCs w:val="24"/>
        </w:rPr>
      </w:pPr>
      <w:r w:rsidRPr="000534AA">
        <w:rPr>
          <w:rFonts w:cstheme="minorHAnsi"/>
          <w:sz w:val="24"/>
          <w:szCs w:val="24"/>
        </w:rPr>
        <w:t xml:space="preserve">Five projects (22%) cited tribal connections as an important community benefit </w:t>
      </w:r>
      <w:r w:rsidR="005944CC">
        <w:rPr>
          <w:rFonts w:cstheme="minorHAnsi"/>
          <w:sz w:val="24"/>
          <w:szCs w:val="24"/>
        </w:rPr>
        <w:t>for</w:t>
      </w:r>
      <w:r w:rsidRPr="000534AA">
        <w:rPr>
          <w:rFonts w:cstheme="minorHAnsi"/>
          <w:sz w:val="24"/>
          <w:szCs w:val="24"/>
        </w:rPr>
        <w:t xml:space="preserve"> their project areas.</w:t>
      </w:r>
    </w:p>
    <w:p w14:paraId="0C0658A1" w14:textId="77777777" w:rsidR="00290428" w:rsidRPr="000534AA" w:rsidRDefault="00290428" w:rsidP="00290428">
      <w:pPr>
        <w:spacing w:after="0"/>
        <w:rPr>
          <w:rFonts w:cstheme="minorHAnsi"/>
          <w:b/>
          <w:bCs/>
          <w:i/>
          <w:iCs/>
          <w:sz w:val="24"/>
          <w:szCs w:val="24"/>
        </w:rPr>
      </w:pPr>
      <w:r w:rsidRPr="000534AA">
        <w:rPr>
          <w:rFonts w:cstheme="minorHAnsi"/>
          <w:b/>
          <w:bCs/>
          <w:i/>
          <w:iCs/>
          <w:sz w:val="24"/>
          <w:szCs w:val="24"/>
        </w:rPr>
        <w:t xml:space="preserve">Volunteer participation </w:t>
      </w:r>
    </w:p>
    <w:p w14:paraId="6A82C8BD" w14:textId="594C05FA" w:rsidR="00290428" w:rsidRDefault="00290428" w:rsidP="00290428">
      <w:pPr>
        <w:pStyle w:val="ListParagraph"/>
        <w:numPr>
          <w:ilvl w:val="0"/>
          <w:numId w:val="25"/>
        </w:numPr>
        <w:rPr>
          <w:rFonts w:cstheme="minorHAnsi"/>
          <w:sz w:val="24"/>
          <w:szCs w:val="24"/>
        </w:rPr>
      </w:pPr>
      <w:r w:rsidRPr="000534AA">
        <w:rPr>
          <w:rFonts w:cstheme="minorHAnsi"/>
          <w:sz w:val="24"/>
          <w:szCs w:val="24"/>
        </w:rPr>
        <w:t xml:space="preserve">Five projects (22%) cited volunteer participation as an important community benefit indicator. Activities with volunteers have led to trail maintenance and improvements, litter clean up, public education, campsite inventory, monitoring. </w:t>
      </w:r>
      <w:r>
        <w:rPr>
          <w:rFonts w:cstheme="minorHAnsi"/>
          <w:sz w:val="24"/>
          <w:szCs w:val="24"/>
        </w:rPr>
        <w:t>V</w:t>
      </w:r>
      <w:r w:rsidRPr="000534AA">
        <w:rPr>
          <w:rFonts w:cstheme="minorHAnsi"/>
          <w:sz w:val="24"/>
          <w:szCs w:val="24"/>
        </w:rPr>
        <w:t xml:space="preserve">olunteers assist in monitoring through citizen science. </w:t>
      </w:r>
    </w:p>
    <w:p w14:paraId="365BF9F7" w14:textId="24817548" w:rsidR="00290428" w:rsidRPr="000534AA" w:rsidRDefault="00290428" w:rsidP="00290428">
      <w:pPr>
        <w:pStyle w:val="ListParagraph"/>
        <w:numPr>
          <w:ilvl w:val="0"/>
          <w:numId w:val="25"/>
        </w:numPr>
        <w:rPr>
          <w:rFonts w:cstheme="minorHAnsi"/>
          <w:sz w:val="24"/>
          <w:szCs w:val="24"/>
        </w:rPr>
      </w:pPr>
      <w:r w:rsidRPr="000534AA">
        <w:rPr>
          <w:rFonts w:cstheme="minorHAnsi"/>
          <w:sz w:val="24"/>
          <w:szCs w:val="24"/>
        </w:rPr>
        <w:t xml:space="preserve">Expanded volunteer opportunities support career mentoring and education while delivering results. </w:t>
      </w:r>
    </w:p>
    <w:p w14:paraId="01914383" w14:textId="77777777" w:rsidR="00290428" w:rsidRDefault="00290428" w:rsidP="00290428">
      <w:pPr>
        <w:pStyle w:val="Heading2"/>
        <w:rPr>
          <w:b/>
          <w:bCs/>
          <w:color w:val="auto"/>
          <w:highlight w:val="yellow"/>
        </w:rPr>
      </w:pPr>
      <w:bookmarkStart w:id="9" w:name="_Toc48740454"/>
    </w:p>
    <w:p w14:paraId="3CD7B6B5" w14:textId="2DD1A6F6" w:rsidR="00290428" w:rsidRPr="000534AA" w:rsidRDefault="00441ED1" w:rsidP="00290428">
      <w:pPr>
        <w:pStyle w:val="Heading2"/>
        <w:rPr>
          <w:b/>
          <w:bCs/>
        </w:rPr>
      </w:pPr>
      <w:r w:rsidRPr="00E73C28">
        <w:rPr>
          <w:rFonts w:cstheme="minorHAnsi"/>
          <w:noProof/>
        </w:rPr>
        <w:drawing>
          <wp:anchor distT="0" distB="0" distL="114300" distR="114300" simplePos="0" relativeHeight="251667456" behindDoc="0" locked="0" layoutInCell="1" allowOverlap="1" wp14:anchorId="39C6F86C" wp14:editId="7DFCF7C9">
            <wp:simplePos x="0" y="0"/>
            <wp:positionH relativeFrom="margin">
              <wp:posOffset>3119451</wp:posOffset>
            </wp:positionH>
            <wp:positionV relativeFrom="paragraph">
              <wp:posOffset>29845</wp:posOffset>
            </wp:positionV>
            <wp:extent cx="3657600" cy="2268220"/>
            <wp:effectExtent l="0" t="0" r="0" b="0"/>
            <wp:wrapSquare wrapText="bothSides"/>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7600" cy="2268220"/>
                    </a:xfrm>
                    <a:prstGeom prst="rect">
                      <a:avLst/>
                    </a:prstGeom>
                    <a:noFill/>
                  </pic:spPr>
                </pic:pic>
              </a:graphicData>
            </a:graphic>
            <wp14:sizeRelH relativeFrom="margin">
              <wp14:pctWidth>0</wp14:pctWidth>
            </wp14:sizeRelH>
            <wp14:sizeRelV relativeFrom="margin">
              <wp14:pctHeight>0</wp14:pctHeight>
            </wp14:sizeRelV>
          </wp:anchor>
        </w:drawing>
      </w:r>
      <w:r w:rsidR="00290428" w:rsidRPr="000534AA">
        <w:rPr>
          <w:b/>
          <w:bCs/>
          <w:color w:val="auto"/>
        </w:rPr>
        <w:t>What kinds of restoration and related activities provided benefits?</w:t>
      </w:r>
      <w:bookmarkEnd w:id="9"/>
      <w:r w:rsidR="00290428" w:rsidRPr="000534AA">
        <w:rPr>
          <w:b/>
          <w:bCs/>
          <w:color w:val="auto"/>
        </w:rPr>
        <w:t xml:space="preserve"> </w:t>
      </w:r>
    </w:p>
    <w:p w14:paraId="3A89077C" w14:textId="6FDA8949" w:rsidR="00290428" w:rsidRPr="000534AA" w:rsidRDefault="00290428" w:rsidP="00290428">
      <w:pPr>
        <w:pStyle w:val="ListParagraph"/>
        <w:numPr>
          <w:ilvl w:val="0"/>
          <w:numId w:val="25"/>
        </w:numPr>
        <w:spacing w:after="120"/>
        <w:rPr>
          <w:rFonts w:cstheme="minorHAnsi"/>
          <w:sz w:val="24"/>
          <w:szCs w:val="24"/>
        </w:rPr>
      </w:pPr>
      <w:r w:rsidRPr="000534AA">
        <w:rPr>
          <w:rFonts w:cstheme="minorHAnsi"/>
          <w:sz w:val="24"/>
          <w:szCs w:val="24"/>
        </w:rPr>
        <w:t>CFLRP supports jobs in multiple sectors, including forest product harvesting and processing, commercial firewood, contracted restoration implementation and monitoring.</w:t>
      </w:r>
    </w:p>
    <w:p w14:paraId="35F0FB29" w14:textId="2DB7F30E" w:rsidR="00290428" w:rsidRPr="000534AA" w:rsidRDefault="005944CC" w:rsidP="00290428">
      <w:pPr>
        <w:pStyle w:val="ListParagraph"/>
        <w:numPr>
          <w:ilvl w:val="0"/>
          <w:numId w:val="25"/>
        </w:numPr>
        <w:spacing w:after="120"/>
        <w:rPr>
          <w:rFonts w:cstheme="minorHAnsi"/>
          <w:sz w:val="24"/>
          <w:szCs w:val="24"/>
        </w:rPr>
      </w:pPr>
      <w:r w:rsidRPr="00E73C28">
        <w:rPr>
          <w:rFonts w:cstheme="minorHAnsi"/>
          <w:noProof/>
        </w:rPr>
        <mc:AlternateContent>
          <mc:Choice Requires="wps">
            <w:drawing>
              <wp:anchor distT="0" distB="0" distL="114300" distR="114300" simplePos="0" relativeHeight="251669504" behindDoc="1" locked="0" layoutInCell="1" allowOverlap="1" wp14:anchorId="33E096EA" wp14:editId="6CBACE4E">
                <wp:simplePos x="0" y="0"/>
                <wp:positionH relativeFrom="margin">
                  <wp:posOffset>3134360</wp:posOffset>
                </wp:positionH>
                <wp:positionV relativeFrom="paragraph">
                  <wp:posOffset>943737</wp:posOffset>
                </wp:positionV>
                <wp:extent cx="3688080" cy="1433195"/>
                <wp:effectExtent l="0" t="0" r="7620" b="0"/>
                <wp:wrapSquare wrapText="bothSides"/>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688080" cy="1433195"/>
                        </a:xfrm>
                        <a:prstGeom prst="rect">
                          <a:avLst/>
                        </a:prstGeom>
                        <a:solidFill>
                          <a:prstClr val="white"/>
                        </a:solidFill>
                        <a:ln>
                          <a:noFill/>
                        </a:ln>
                        <a:effectLst/>
                      </wps:spPr>
                      <wps:txbx>
                        <w:txbxContent>
                          <w:p w14:paraId="07E80C28" w14:textId="64092B32" w:rsidR="005944CC" w:rsidRDefault="005944CC" w:rsidP="00441ED1">
                            <w:pPr>
                              <w:pStyle w:val="NoSpacing"/>
                              <w:jc w:val="both"/>
                            </w:pPr>
                            <w:r>
                              <w:t>Commercial firewood includes jobs from the sale of firewood harvested. Contracted monitoring includes jobs from private business. Forest and watershed restoration jobs includes contracted restoration activities. Timber harvest contributions include jobs from logging and removal of commercial products. FS implementation and monitoring includes contributions from Agency implementation and monitoring.</w:t>
                            </w:r>
                            <w:r w:rsidRPr="00092A74">
                              <w:t xml:space="preserve"> </w:t>
                            </w:r>
                            <w:r>
                              <w:t>Forest product processing includes jobs from processing of commercial harvest.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096EA" id="Text Box 9" o:spid="_x0000_s1029" type="#_x0000_t202" style="position:absolute;left:0;text-align:left;margin-left:246.8pt;margin-top:74.3pt;width:290.4pt;height:112.8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" stroked="f">
                <v:textbox inset="0,0,0,0">
                  <w:txbxContent>
                    <w:p w14:paraId="07E80C28" w14:textId="64092B32" w:rsidR="005944CC" w:rsidRDefault="005944CC" w:rsidP="00441ED1">
                      <w:pPr>
                        <w:pStyle w:val="NoSpacing"/>
                        <w:jc w:val="both"/>
                      </w:pPr>
                      <w:r>
                        <w:t>Commercial firewood includes jobs from the sale of firewood harvested. Contracted monitoring includes jobs from private business. Forest and watershed restoration jobs includes contracted restoration activities. Timber harvest contributions include jobs from logging and removal of commercial products. FS implementation and monitoring includes contributions from Agency implementation and monitoring.</w:t>
                      </w:r>
                      <w:r w:rsidRPr="00092A74">
                        <w:t xml:space="preserve"> </w:t>
                      </w:r>
                      <w:r>
                        <w:t>Forest product processing includes jobs from processing of commercial harvest. </w:t>
                      </w:r>
                    </w:p>
                  </w:txbxContent>
                </v:textbox>
                <w10:wrap type="square" anchorx="margin"/>
              </v:shape>
            </w:pict>
          </mc:Fallback>
        </mc:AlternateContent>
      </w:r>
      <w:r w:rsidR="00290428" w:rsidRPr="000534AA">
        <w:rPr>
          <w:rFonts w:cstheme="minorHAnsi"/>
          <w:sz w:val="24"/>
          <w:szCs w:val="24"/>
        </w:rPr>
        <w:t xml:space="preserve">Restoration activities include non-commercial thinning, road decommissioning, aquatic organism passage installation, road maintenance, recreation improvements, weed eradication, fish and wildlife monitoring, trail work, tree planting, native fish restoration, citizen science stream monitoring, aquatic </w:t>
      </w:r>
      <w:proofErr w:type="spellStart"/>
      <w:r w:rsidR="00290428" w:rsidRPr="000534AA">
        <w:rPr>
          <w:rFonts w:cstheme="minorHAnsi"/>
          <w:sz w:val="24"/>
          <w:szCs w:val="24"/>
        </w:rPr>
        <w:t>invasives</w:t>
      </w:r>
      <w:proofErr w:type="spellEnd"/>
      <w:r w:rsidR="00290428" w:rsidRPr="000534AA">
        <w:rPr>
          <w:rFonts w:cstheme="minorHAnsi"/>
          <w:sz w:val="24"/>
          <w:szCs w:val="24"/>
        </w:rPr>
        <w:t xml:space="preserve"> inspections, and carnivore monitoring.</w:t>
      </w:r>
    </w:p>
    <w:p w14:paraId="18F84E2B" w14:textId="3335A504" w:rsidR="00290428" w:rsidRDefault="00290428" w:rsidP="00290428">
      <w:pPr>
        <w:pStyle w:val="ListParagraph"/>
        <w:numPr>
          <w:ilvl w:val="0"/>
          <w:numId w:val="25"/>
        </w:numPr>
        <w:spacing w:after="120"/>
        <w:rPr>
          <w:rFonts w:cstheme="minorHAnsi"/>
          <w:sz w:val="24"/>
          <w:szCs w:val="24"/>
        </w:rPr>
      </w:pPr>
      <w:r w:rsidRPr="00290428">
        <w:rPr>
          <w:rFonts w:cstheme="minorHAnsi"/>
          <w:sz w:val="24"/>
          <w:szCs w:val="24"/>
        </w:rPr>
        <w:t>Some restoration projects are heavily dependent on work accomplished by volunteers and partners.</w:t>
      </w:r>
    </w:p>
    <w:p w14:paraId="562AB863" w14:textId="77777777" w:rsidR="00290428" w:rsidRPr="004B5EE0" w:rsidRDefault="00290428" w:rsidP="00290428">
      <w:pPr>
        <w:pStyle w:val="Heading2"/>
        <w:rPr>
          <w:b/>
          <w:bCs/>
          <w:color w:val="auto"/>
        </w:rPr>
      </w:pPr>
      <w:bookmarkStart w:id="10" w:name="_Toc48740456"/>
      <w:r w:rsidRPr="000534AA">
        <w:rPr>
          <w:b/>
          <w:bCs/>
          <w:color w:val="auto"/>
        </w:rPr>
        <w:lastRenderedPageBreak/>
        <w:t>What did we learn about expanding markets for biomass/small diameter woody material and building local industry capacity?</w:t>
      </w:r>
      <w:bookmarkEnd w:id="10"/>
      <w:r w:rsidRPr="004B5EE0">
        <w:rPr>
          <w:b/>
          <w:bCs/>
          <w:color w:val="auto"/>
        </w:rPr>
        <w:t xml:space="preserve"> </w:t>
      </w:r>
    </w:p>
    <w:p w14:paraId="3FF09CB6" w14:textId="472EA6F2" w:rsidR="00290428" w:rsidRPr="00441ED1" w:rsidRDefault="00290428" w:rsidP="00441ED1">
      <w:pPr>
        <w:pStyle w:val="ListParagraph"/>
        <w:numPr>
          <w:ilvl w:val="0"/>
          <w:numId w:val="25"/>
        </w:numPr>
        <w:spacing w:before="120" w:after="160" w:line="259" w:lineRule="auto"/>
        <w:rPr>
          <w:sz w:val="24"/>
          <w:szCs w:val="24"/>
        </w:rPr>
      </w:pPr>
      <w:r w:rsidRPr="00441ED1">
        <w:rPr>
          <w:sz w:val="24"/>
          <w:szCs w:val="24"/>
        </w:rPr>
        <w:t xml:space="preserve">Forest industry capacity and markets is an important consideration for landscape-scale restoration. Through a collaborative approach, CFLRP </w:t>
      </w:r>
      <w:r w:rsidR="000975B0" w:rsidRPr="00441ED1">
        <w:rPr>
          <w:sz w:val="24"/>
          <w:szCs w:val="24"/>
        </w:rPr>
        <w:t>p</w:t>
      </w:r>
      <w:r w:rsidRPr="00441ED1">
        <w:rPr>
          <w:sz w:val="24"/>
          <w:szCs w:val="24"/>
        </w:rPr>
        <w:t xml:space="preserve">rojects can create a social license and expanded capacity to explore new opportunities and technologies. Five projects </w:t>
      </w:r>
      <w:r w:rsidRPr="00441ED1">
        <w:rPr>
          <w:rFonts w:cstheme="minorHAnsi"/>
          <w:sz w:val="24"/>
          <w:szCs w:val="24"/>
        </w:rPr>
        <w:t>(22%) cited economic dependency/sectors impacts/expanding market development as a community benefit.</w:t>
      </w:r>
    </w:p>
    <w:p w14:paraId="0CB8B76E" w14:textId="28E6EF67" w:rsidR="00290428" w:rsidRPr="00441ED1" w:rsidRDefault="00290428" w:rsidP="00441ED1">
      <w:pPr>
        <w:pStyle w:val="ListParagraph"/>
        <w:numPr>
          <w:ilvl w:val="0"/>
          <w:numId w:val="25"/>
        </w:numPr>
        <w:spacing w:after="120"/>
        <w:rPr>
          <w:sz w:val="24"/>
          <w:szCs w:val="24"/>
        </w:rPr>
      </w:pPr>
      <w:r w:rsidRPr="00441ED1">
        <w:rPr>
          <w:sz w:val="24"/>
          <w:szCs w:val="24"/>
        </w:rPr>
        <w:t xml:space="preserve">While CFLRP </w:t>
      </w:r>
      <w:r w:rsidR="000975B0" w:rsidRPr="00441ED1">
        <w:rPr>
          <w:sz w:val="24"/>
          <w:szCs w:val="24"/>
        </w:rPr>
        <w:t>p</w:t>
      </w:r>
      <w:r w:rsidRPr="00441ED1">
        <w:rPr>
          <w:sz w:val="24"/>
          <w:szCs w:val="24"/>
        </w:rPr>
        <w:t xml:space="preserve">rojects helped maintain and, in some cases, expand existing industry, projects reported a lack of infrastructure and markets for low-value wood products as a continuing challenge. </w:t>
      </w:r>
    </w:p>
    <w:p w14:paraId="2561AB1D" w14:textId="52F36931" w:rsidR="00290428" w:rsidRPr="00441ED1" w:rsidRDefault="00290428" w:rsidP="00441ED1">
      <w:pPr>
        <w:pStyle w:val="ListParagraph"/>
        <w:numPr>
          <w:ilvl w:val="0"/>
          <w:numId w:val="25"/>
        </w:numPr>
        <w:spacing w:before="120" w:after="160" w:line="259" w:lineRule="auto"/>
        <w:rPr>
          <w:sz w:val="24"/>
          <w:szCs w:val="24"/>
        </w:rPr>
      </w:pPr>
      <w:r w:rsidRPr="00441ED1">
        <w:rPr>
          <w:iCs/>
          <w:sz w:val="24"/>
          <w:szCs w:val="24"/>
        </w:rPr>
        <w:t>Several CFLRP projects worked to assess new opportunities and technologies to expand markets and infrastructure, including new products and processing approaches.</w:t>
      </w:r>
    </w:p>
    <w:p w14:paraId="2EEE3B32" w14:textId="694A9D64" w:rsidR="00290428" w:rsidRPr="00441ED1" w:rsidRDefault="00290428" w:rsidP="00441ED1">
      <w:pPr>
        <w:pStyle w:val="ListParagraph"/>
        <w:numPr>
          <w:ilvl w:val="0"/>
          <w:numId w:val="25"/>
        </w:numPr>
        <w:spacing w:before="120" w:after="160" w:line="259" w:lineRule="auto"/>
        <w:rPr>
          <w:sz w:val="24"/>
          <w:szCs w:val="24"/>
        </w:rPr>
      </w:pPr>
      <w:r w:rsidRPr="00441ED1">
        <w:rPr>
          <w:sz w:val="24"/>
          <w:szCs w:val="24"/>
        </w:rPr>
        <w:t xml:space="preserve">CFLRPs used a suite of tools and approaches to support local forest products industry and expand markets, including offering multiple scales and contract types. Stewardship grants and agreements may be a path forward for many projects to keep the work – and local industry- viable, along with defining “local” community benefit appropriately when awarding contracts. However, one size doesn’t fit all. </w:t>
      </w:r>
    </w:p>
    <w:bookmarkEnd w:id="5"/>
    <w:bookmarkEnd w:id="6"/>
    <w:bookmarkEnd w:id="7"/>
    <w:bookmarkEnd w:id="8"/>
    <w:p w14:paraId="0461C7D5" w14:textId="32DD36ED" w:rsidR="00290428" w:rsidRPr="00647303" w:rsidRDefault="00290428" w:rsidP="00290428">
      <w:pPr>
        <w:pStyle w:val="Heading2"/>
        <w:rPr>
          <w:b/>
          <w:bCs/>
        </w:rPr>
      </w:pPr>
      <w:r w:rsidRPr="00647303">
        <w:rPr>
          <w:b/>
          <w:bCs/>
        </w:rPr>
        <w:t>Where to Learn More</w:t>
      </w:r>
      <w:r>
        <w:rPr>
          <w:b/>
          <w:bCs/>
        </w:rPr>
        <w:t xml:space="preserve"> </w:t>
      </w:r>
      <w:r w:rsidRPr="00041F67">
        <w:rPr>
          <w:b/>
          <w:bCs/>
          <w:i/>
          <w:iCs/>
        </w:rPr>
        <w:t xml:space="preserve">(selected resources from </w:t>
      </w:r>
      <w:hyperlink r:id="rId11" w:history="1">
        <w:r w:rsidRPr="00041F67">
          <w:rPr>
            <w:rStyle w:val="Hyperlink"/>
            <w:b/>
            <w:bCs/>
            <w:i/>
            <w:iCs/>
          </w:rPr>
          <w:t>CFLRP Results and Lessons Learned</w:t>
        </w:r>
      </w:hyperlink>
      <w:r w:rsidRPr="00041F67">
        <w:rPr>
          <w:b/>
          <w:bCs/>
          <w:i/>
          <w:iCs/>
        </w:rPr>
        <w:t>)</w:t>
      </w:r>
      <w:r>
        <w:rPr>
          <w:b/>
          <w:bCs/>
        </w:rPr>
        <w:t xml:space="preserve"> </w:t>
      </w:r>
    </w:p>
    <w:p w14:paraId="363BE19D" w14:textId="77777777" w:rsidR="00290428" w:rsidRPr="003A5F6D" w:rsidRDefault="00290428" w:rsidP="00290428">
      <w:r w:rsidRPr="00272EF5">
        <w:rPr>
          <w:noProof/>
        </w:rPr>
        <mc:AlternateContent>
          <mc:Choice Requires="wps">
            <w:drawing>
              <wp:inline distT="0" distB="0" distL="0" distR="0" wp14:anchorId="41C09251" wp14:editId="13C535C8">
                <wp:extent cx="6753225" cy="1689811"/>
                <wp:effectExtent l="0" t="0" r="28575" b="2476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689811"/>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2DED3C0" w14:textId="77777777" w:rsidR="00290428" w:rsidRPr="0007080B" w:rsidRDefault="00290428" w:rsidP="00290428">
                            <w:pPr>
                              <w:pStyle w:val="ListParagraph"/>
                              <w:numPr>
                                <w:ilvl w:val="0"/>
                                <w:numId w:val="22"/>
                              </w:numPr>
                              <w:rPr>
                                <w:rFonts w:cstheme="minorHAnsi"/>
                              </w:rPr>
                            </w:pPr>
                            <w:r w:rsidRPr="0007080B">
                              <w:rPr>
                                <w:rFonts w:cstheme="minorHAnsi"/>
                              </w:rPr>
                              <w:t xml:space="preserve">Information on the </w:t>
                            </w:r>
                            <w:hyperlink r:id="rId12" w:history="1">
                              <w:r w:rsidRPr="0007080B">
                                <w:rPr>
                                  <w:rStyle w:val="Hyperlink"/>
                                  <w:rFonts w:cstheme="minorHAnsi"/>
                                </w:rPr>
                                <w:t>Treatment for Restoration Economic Analysis Toolkit</w:t>
                              </w:r>
                            </w:hyperlink>
                            <w:r w:rsidRPr="0007080B">
                              <w:rPr>
                                <w:rFonts w:cstheme="minorHAnsi"/>
                              </w:rPr>
                              <w:t xml:space="preserve"> (TREAT), a modeling tool used to estimate jobs supported and local labor income across CFLRP projects </w:t>
                            </w:r>
                          </w:p>
                          <w:p w14:paraId="496E508E" w14:textId="0FF1B8B6" w:rsidR="00290428" w:rsidRPr="0007080B" w:rsidRDefault="00290428" w:rsidP="00290428">
                            <w:pPr>
                              <w:pStyle w:val="ListParagraph"/>
                              <w:numPr>
                                <w:ilvl w:val="0"/>
                                <w:numId w:val="22"/>
                              </w:numPr>
                              <w:rPr>
                                <w:rFonts w:cstheme="minorHAnsi"/>
                              </w:rPr>
                            </w:pPr>
                            <w:r>
                              <w:rPr>
                                <w:rFonts w:cstheme="minorHAnsi"/>
                              </w:rPr>
                              <w:t xml:space="preserve">Project </w:t>
                            </w:r>
                            <w:r w:rsidRPr="0007080B">
                              <w:rPr>
                                <w:rFonts w:cstheme="minorHAnsi"/>
                              </w:rPr>
                              <w:t xml:space="preserve">TREAT data (Question 3) and description of community benefits (Question 4) </w:t>
                            </w:r>
                            <w:r>
                              <w:rPr>
                                <w:rFonts w:cstheme="minorHAnsi"/>
                              </w:rPr>
                              <w:t xml:space="preserve">is available </w:t>
                            </w:r>
                            <w:r w:rsidRPr="0007080B">
                              <w:rPr>
                                <w:rFonts w:cstheme="minorHAnsi"/>
                              </w:rPr>
                              <w:t xml:space="preserve">in </w:t>
                            </w:r>
                            <w:hyperlink r:id="rId13" w:history="1">
                              <w:r w:rsidRPr="0007080B">
                                <w:rPr>
                                  <w:rStyle w:val="Hyperlink"/>
                                  <w:rFonts w:cstheme="minorHAnsi"/>
                                </w:rPr>
                                <w:t>CFLRP Annual Reports</w:t>
                              </w:r>
                            </w:hyperlink>
                          </w:p>
                          <w:p w14:paraId="28152F54" w14:textId="77777777" w:rsidR="00290428" w:rsidRPr="0007080B" w:rsidRDefault="00207BBD" w:rsidP="00290428">
                            <w:pPr>
                              <w:pStyle w:val="ListParagraph"/>
                              <w:numPr>
                                <w:ilvl w:val="0"/>
                                <w:numId w:val="22"/>
                              </w:numPr>
                              <w:rPr>
                                <w:rFonts w:cstheme="minorHAnsi"/>
                              </w:rPr>
                            </w:pPr>
                            <w:hyperlink r:id="rId14" w:history="1">
                              <w:r w:rsidR="00290428" w:rsidRPr="0007080B">
                                <w:rPr>
                                  <w:rStyle w:val="Hyperlink"/>
                                </w:rPr>
                                <w:t>Assessing, Planning, and Monitoring to Increase Local Economic Opportunities from Restoration</w:t>
                              </w:r>
                            </w:hyperlink>
                            <w:r w:rsidR="00290428" w:rsidRPr="0007080B">
                              <w:t xml:space="preserve"> </w:t>
                            </w:r>
                          </w:p>
                          <w:p w14:paraId="4FC577E4" w14:textId="192EF753" w:rsidR="00290428" w:rsidRPr="0007080B" w:rsidRDefault="00207BBD" w:rsidP="00290428">
                            <w:pPr>
                              <w:pStyle w:val="ListParagraph"/>
                              <w:numPr>
                                <w:ilvl w:val="0"/>
                                <w:numId w:val="22"/>
                              </w:numPr>
                              <w:rPr>
                                <w:rFonts w:cstheme="minorHAnsi"/>
                              </w:rPr>
                            </w:pPr>
                            <w:hyperlink r:id="rId15" w:history="1">
                              <w:r w:rsidR="00290428" w:rsidRPr="0007080B">
                                <w:rPr>
                                  <w:rStyle w:val="Hyperlink"/>
                                </w:rPr>
                                <w:t>Social and Economic Monitoring for the Lakeview Stewardship C</w:t>
                              </w:r>
                              <w:r w:rsidR="00290428">
                                <w:rPr>
                                  <w:rStyle w:val="Hyperlink"/>
                                </w:rPr>
                                <w:t>FLRP</w:t>
                              </w:r>
                            </w:hyperlink>
                            <w:r w:rsidR="00290428" w:rsidRPr="0007080B">
                              <w:t xml:space="preserve"> </w:t>
                            </w:r>
                          </w:p>
                          <w:p w14:paraId="00D9DBF4" w14:textId="77777777" w:rsidR="00441ED1" w:rsidRPr="00441ED1" w:rsidRDefault="00207BBD" w:rsidP="00441ED1">
                            <w:pPr>
                              <w:pStyle w:val="ListParagraph"/>
                              <w:numPr>
                                <w:ilvl w:val="0"/>
                                <w:numId w:val="22"/>
                              </w:numPr>
                              <w:rPr>
                                <w:rFonts w:cstheme="minorHAnsi"/>
                              </w:rPr>
                            </w:pPr>
                            <w:hyperlink r:id="rId16" w:history="1">
                              <w:r w:rsidR="00290428" w:rsidRPr="0007080B">
                                <w:rPr>
                                  <w:rStyle w:val="Hyperlink"/>
                                </w:rPr>
                                <w:t>Regional Economic Contributions of the Four Forest Restoration Initiative</w:t>
                              </w:r>
                            </w:hyperlink>
                            <w:r w:rsidR="00290428" w:rsidRPr="0007080B">
                              <w:t xml:space="preserve"> </w:t>
                            </w:r>
                            <w:bookmarkStart w:id="11" w:name="_Hlk37768093"/>
                          </w:p>
                          <w:p w14:paraId="29B2950E" w14:textId="098F027E" w:rsidR="00290428" w:rsidRPr="00441ED1" w:rsidRDefault="00290428" w:rsidP="00441ED1">
                            <w:pPr>
                              <w:pStyle w:val="ListParagraph"/>
                              <w:numPr>
                                <w:ilvl w:val="0"/>
                                <w:numId w:val="22"/>
                              </w:numPr>
                              <w:rPr>
                                <w:rFonts w:cstheme="minorHAnsi"/>
                              </w:rPr>
                            </w:pPr>
                            <w:r w:rsidRPr="00441ED1">
                              <w:rPr>
                                <w:rFonts w:cstheme="minorHAnsi"/>
                              </w:rPr>
                              <w:t xml:space="preserve">Additional </w:t>
                            </w:r>
                            <w:r w:rsidR="00441ED1">
                              <w:rPr>
                                <w:rFonts w:cstheme="minorHAnsi"/>
                              </w:rPr>
                              <w:t xml:space="preserve">CFLRP </w:t>
                            </w:r>
                            <w:r w:rsidRPr="00441ED1">
                              <w:rPr>
                                <w:rFonts w:cstheme="minorHAnsi"/>
                              </w:rPr>
                              <w:t xml:space="preserve">project-level social and economic monitoring reports are posted to the </w:t>
                            </w:r>
                            <w:hyperlink r:id="rId17" w:history="1">
                              <w:r w:rsidRPr="00441ED1">
                                <w:rPr>
                                  <w:rStyle w:val="Hyperlink"/>
                                  <w:rFonts w:cstheme="minorHAnsi"/>
                                </w:rPr>
                                <w:t>CFLRP Resource Library</w:t>
                              </w:r>
                              <w:bookmarkEnd w:id="11"/>
                            </w:hyperlink>
                          </w:p>
                          <w:p w14:paraId="430CF55B" w14:textId="77777777" w:rsidR="00290428" w:rsidRPr="0002672C" w:rsidRDefault="00290428" w:rsidP="00290428">
                            <w:pPr>
                              <w:pStyle w:val="NoSpacing"/>
                              <w:ind w:left="720"/>
                            </w:pPr>
                          </w:p>
                        </w:txbxContent>
                      </wps:txbx>
                      <wps:bodyPr rot="0" vert="horz" wrap="square" lIns="91440" tIns="45720" rIns="91440" bIns="45720" anchor="t" anchorCtr="0">
                        <a:noAutofit/>
                      </wps:bodyPr>
                    </wps:wsp>
                  </a:graphicData>
                </a:graphic>
              </wp:inline>
            </w:drawing>
          </mc:Choice>
          <mc:Fallback>
            <w:pict>
              <v:shape w14:anchorId="41C09251" id="Text Box 2" o:spid="_x0000_s1030" type="#_x0000_t202" style="width:531.75pt;height:13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" fillcolor="white [3201]" strokecolor="#4472c4 [3204]" strokeweight="1pt">
                <v:textbox>
                  <w:txbxContent>
                    <w:p w14:paraId="52DED3C0" w14:textId="77777777" w:rsidR="00290428" w:rsidRPr="0007080B" w:rsidRDefault="00290428" w:rsidP="00290428">
                      <w:pPr>
                        <w:pStyle w:val="ListParagraph"/>
                        <w:numPr>
                          <w:ilvl w:val="0"/>
                          <w:numId w:val="22"/>
                        </w:numPr>
                        <w:rPr>
                          <w:rFonts w:cstheme="minorHAnsi"/>
                        </w:rPr>
                      </w:pPr>
                      <w:r w:rsidRPr="0007080B">
                        <w:rPr>
                          <w:rFonts w:cstheme="minorHAnsi"/>
                        </w:rPr>
                        <w:t xml:space="preserve">Information on the </w:t>
                      </w:r>
                      <w:hyperlink r:id="rId18" w:history="1">
                        <w:r w:rsidRPr="0007080B">
                          <w:rPr>
                            <w:rStyle w:val="Hyperlink"/>
                            <w:rFonts w:cstheme="minorHAnsi"/>
                          </w:rPr>
                          <w:t>Treatment for Restoration Economic Analysis Toolkit</w:t>
                        </w:r>
                      </w:hyperlink>
                      <w:r w:rsidRPr="0007080B">
                        <w:rPr>
                          <w:rFonts w:cstheme="minorHAnsi"/>
                        </w:rPr>
                        <w:t xml:space="preserve"> (TREAT), a modeling tool used to estimate jobs supported and local labor income across CFLRP projects </w:t>
                      </w:r>
                    </w:p>
                    <w:p w14:paraId="496E508E" w14:textId="0FF1B8B6" w:rsidR="00290428" w:rsidRPr="0007080B" w:rsidRDefault="00290428" w:rsidP="00290428">
                      <w:pPr>
                        <w:pStyle w:val="ListParagraph"/>
                        <w:numPr>
                          <w:ilvl w:val="0"/>
                          <w:numId w:val="22"/>
                        </w:numPr>
                        <w:rPr>
                          <w:rFonts w:cstheme="minorHAnsi"/>
                        </w:rPr>
                      </w:pPr>
                      <w:r>
                        <w:rPr>
                          <w:rFonts w:cstheme="minorHAnsi"/>
                        </w:rPr>
                        <w:t xml:space="preserve">Project </w:t>
                      </w:r>
                      <w:r w:rsidRPr="0007080B">
                        <w:rPr>
                          <w:rFonts w:cstheme="minorHAnsi"/>
                        </w:rPr>
                        <w:t xml:space="preserve">TREAT data (Question 3) and description of community benefits (Question 4) </w:t>
                      </w:r>
                      <w:r>
                        <w:rPr>
                          <w:rFonts w:cstheme="minorHAnsi"/>
                        </w:rPr>
                        <w:t xml:space="preserve">is available </w:t>
                      </w:r>
                      <w:r w:rsidRPr="0007080B">
                        <w:rPr>
                          <w:rFonts w:cstheme="minorHAnsi"/>
                        </w:rPr>
                        <w:t xml:space="preserve">in </w:t>
                      </w:r>
                      <w:hyperlink r:id="rId19" w:history="1">
                        <w:r w:rsidRPr="0007080B">
                          <w:rPr>
                            <w:rStyle w:val="Hyperlink"/>
                            <w:rFonts w:cstheme="minorHAnsi"/>
                          </w:rPr>
                          <w:t>CFLRP Annual Reports</w:t>
                        </w:r>
                      </w:hyperlink>
                    </w:p>
                    <w:p w14:paraId="28152F54" w14:textId="77777777" w:rsidR="00290428" w:rsidRPr="0007080B" w:rsidRDefault="00207BBD" w:rsidP="00290428">
                      <w:pPr>
                        <w:pStyle w:val="ListParagraph"/>
                        <w:numPr>
                          <w:ilvl w:val="0"/>
                          <w:numId w:val="22"/>
                        </w:numPr>
                        <w:rPr>
                          <w:rFonts w:cstheme="minorHAnsi"/>
                        </w:rPr>
                      </w:pPr>
                      <w:hyperlink r:id="rId20" w:history="1">
                        <w:r w:rsidR="00290428" w:rsidRPr="0007080B">
                          <w:rPr>
                            <w:rStyle w:val="Hyperlink"/>
                          </w:rPr>
                          <w:t>Assessing, Planning, and Monitoring to Increase Local Economic Opportunities from Restoration</w:t>
                        </w:r>
                      </w:hyperlink>
                      <w:r w:rsidR="00290428" w:rsidRPr="0007080B">
                        <w:t xml:space="preserve"> </w:t>
                      </w:r>
                    </w:p>
                    <w:p w14:paraId="4FC577E4" w14:textId="192EF753" w:rsidR="00290428" w:rsidRPr="0007080B" w:rsidRDefault="00207BBD" w:rsidP="00290428">
                      <w:pPr>
                        <w:pStyle w:val="ListParagraph"/>
                        <w:numPr>
                          <w:ilvl w:val="0"/>
                          <w:numId w:val="22"/>
                        </w:numPr>
                        <w:rPr>
                          <w:rFonts w:cstheme="minorHAnsi"/>
                        </w:rPr>
                      </w:pPr>
                      <w:hyperlink r:id="rId21" w:history="1">
                        <w:r w:rsidR="00290428" w:rsidRPr="0007080B">
                          <w:rPr>
                            <w:rStyle w:val="Hyperlink"/>
                          </w:rPr>
                          <w:t>Social and Economic Monitoring for the Lakeview Stewardship C</w:t>
                        </w:r>
                        <w:r w:rsidR="00290428">
                          <w:rPr>
                            <w:rStyle w:val="Hyperlink"/>
                          </w:rPr>
                          <w:t>FLRP</w:t>
                        </w:r>
                      </w:hyperlink>
                      <w:r w:rsidR="00290428" w:rsidRPr="0007080B">
                        <w:t xml:space="preserve"> </w:t>
                      </w:r>
                    </w:p>
                    <w:p w14:paraId="00D9DBF4" w14:textId="77777777" w:rsidR="00441ED1" w:rsidRPr="00441ED1" w:rsidRDefault="00207BBD" w:rsidP="00441ED1">
                      <w:pPr>
                        <w:pStyle w:val="ListParagraph"/>
                        <w:numPr>
                          <w:ilvl w:val="0"/>
                          <w:numId w:val="22"/>
                        </w:numPr>
                        <w:rPr>
                          <w:rFonts w:cstheme="minorHAnsi"/>
                        </w:rPr>
                      </w:pPr>
                      <w:hyperlink r:id="rId22" w:history="1">
                        <w:r w:rsidR="00290428" w:rsidRPr="0007080B">
                          <w:rPr>
                            <w:rStyle w:val="Hyperlink"/>
                          </w:rPr>
                          <w:t>Regional Economic Contributions of the Four Forest Restoration Initiative</w:t>
                        </w:r>
                      </w:hyperlink>
                      <w:r w:rsidR="00290428" w:rsidRPr="0007080B">
                        <w:t xml:space="preserve"> </w:t>
                      </w:r>
                      <w:bookmarkStart w:id="12" w:name="_Hlk37768093"/>
                    </w:p>
                    <w:p w14:paraId="29B2950E" w14:textId="098F027E" w:rsidR="00290428" w:rsidRPr="00441ED1" w:rsidRDefault="00290428" w:rsidP="00441ED1">
                      <w:pPr>
                        <w:pStyle w:val="ListParagraph"/>
                        <w:numPr>
                          <w:ilvl w:val="0"/>
                          <w:numId w:val="22"/>
                        </w:numPr>
                        <w:rPr>
                          <w:rFonts w:cstheme="minorHAnsi"/>
                        </w:rPr>
                      </w:pPr>
                      <w:r w:rsidRPr="00441ED1">
                        <w:rPr>
                          <w:rFonts w:cstheme="minorHAnsi"/>
                        </w:rPr>
                        <w:t xml:space="preserve">Additional </w:t>
                      </w:r>
                      <w:r w:rsidR="00441ED1">
                        <w:rPr>
                          <w:rFonts w:cstheme="minorHAnsi"/>
                        </w:rPr>
                        <w:t xml:space="preserve">CFLRP </w:t>
                      </w:r>
                      <w:r w:rsidRPr="00441ED1">
                        <w:rPr>
                          <w:rFonts w:cstheme="minorHAnsi"/>
                        </w:rPr>
                        <w:t xml:space="preserve">project-level social and economic monitoring reports are posted to the </w:t>
                      </w:r>
                      <w:hyperlink r:id="rId23" w:history="1">
                        <w:r w:rsidRPr="00441ED1">
                          <w:rPr>
                            <w:rStyle w:val="Hyperlink"/>
                            <w:rFonts w:cstheme="minorHAnsi"/>
                          </w:rPr>
                          <w:t>CFLRP Resource Library</w:t>
                        </w:r>
                        <w:bookmarkEnd w:id="12"/>
                      </w:hyperlink>
                    </w:p>
                    <w:p w14:paraId="430CF55B" w14:textId="77777777" w:rsidR="00290428" w:rsidRPr="0002672C" w:rsidRDefault="00290428" w:rsidP="00290428">
                      <w:pPr>
                        <w:pStyle w:val="NoSpacing"/>
                        <w:ind w:left="720"/>
                      </w:pPr>
                    </w:p>
                  </w:txbxContent>
                </v:textbox>
                <w10:anchorlock/>
              </v:shape>
            </w:pict>
          </mc:Fallback>
        </mc:AlternateContent>
      </w:r>
    </w:p>
    <w:p w14:paraId="324B1675" w14:textId="77777777" w:rsidR="00290428" w:rsidRPr="00290428" w:rsidRDefault="00290428" w:rsidP="00290428">
      <w:pPr>
        <w:pStyle w:val="NoSpacing"/>
        <w:rPr>
          <w:b/>
          <w:bCs/>
          <w:sz w:val="16"/>
          <w:szCs w:val="16"/>
        </w:rPr>
      </w:pPr>
      <w:bookmarkStart w:id="13" w:name="_Next_Steps:"/>
      <w:bookmarkStart w:id="14" w:name="_Toc48740495"/>
      <w:bookmarkEnd w:id="2"/>
      <w:bookmarkEnd w:id="13"/>
    </w:p>
    <w:p w14:paraId="05A958DB" w14:textId="77777777" w:rsidR="00290428" w:rsidRPr="00647303" w:rsidRDefault="00290428" w:rsidP="00290428">
      <w:pPr>
        <w:pStyle w:val="Heading2"/>
        <w:rPr>
          <w:b/>
          <w:bCs/>
        </w:rPr>
      </w:pPr>
      <w:r w:rsidRPr="00647303">
        <w:rPr>
          <w:b/>
          <w:bCs/>
        </w:rPr>
        <w:t>Next Steps:</w:t>
      </w:r>
      <w:bookmarkEnd w:id="14"/>
    </w:p>
    <w:bookmarkEnd w:id="3"/>
    <w:p w14:paraId="4CC26E93" w14:textId="77777777" w:rsidR="00290428" w:rsidRPr="0007080B" w:rsidRDefault="00290428" w:rsidP="00290428">
      <w:pPr>
        <w:pStyle w:val="ListParagraph"/>
        <w:numPr>
          <w:ilvl w:val="0"/>
          <w:numId w:val="20"/>
        </w:numPr>
        <w:contextualSpacing w:val="0"/>
        <w:rPr>
          <w:sz w:val="24"/>
          <w:szCs w:val="24"/>
        </w:rPr>
      </w:pPr>
      <w:r w:rsidRPr="0007080B">
        <w:rPr>
          <w:sz w:val="24"/>
          <w:szCs w:val="24"/>
        </w:rPr>
        <w:t>Forest restoration and community benefits are closely linked. CFLRP projects provide a variety of benefits to communities in a variety of ways.</w:t>
      </w:r>
    </w:p>
    <w:p w14:paraId="5A18CCE6" w14:textId="77777777" w:rsidR="00290428" w:rsidRPr="0007080B" w:rsidRDefault="00290428" w:rsidP="00290428">
      <w:pPr>
        <w:pStyle w:val="ListParagraph"/>
        <w:numPr>
          <w:ilvl w:val="0"/>
          <w:numId w:val="20"/>
        </w:numPr>
        <w:contextualSpacing w:val="0"/>
        <w:rPr>
          <w:sz w:val="24"/>
          <w:szCs w:val="24"/>
        </w:rPr>
      </w:pPr>
      <w:r w:rsidRPr="0007080B">
        <w:rPr>
          <w:sz w:val="24"/>
          <w:szCs w:val="24"/>
        </w:rPr>
        <w:t xml:space="preserve">Additional work is needed to fully contextualize community benefits across communities and better understand and monitor social and economic benefits. There is an opportunity to improve socioeconomic information about the program. </w:t>
      </w:r>
    </w:p>
    <w:p w14:paraId="0479890C" w14:textId="77777777" w:rsidR="00290428" w:rsidRPr="0007080B" w:rsidRDefault="00290428" w:rsidP="00290428">
      <w:pPr>
        <w:pStyle w:val="ListParagraph"/>
        <w:numPr>
          <w:ilvl w:val="0"/>
          <w:numId w:val="20"/>
        </w:numPr>
        <w:contextualSpacing w:val="0"/>
        <w:rPr>
          <w:sz w:val="24"/>
          <w:szCs w:val="24"/>
        </w:rPr>
      </w:pPr>
      <w:r w:rsidRPr="0007080B">
        <w:rPr>
          <w:sz w:val="24"/>
          <w:szCs w:val="24"/>
        </w:rPr>
        <w:t xml:space="preserve">Recognizing that the lack of wood products contractors or markets is commonly cited as one of, or the, most important external factors that limited CFLRP success, additional work and focus is needed to address the challenges and barriers. </w:t>
      </w:r>
    </w:p>
    <w:p w14:paraId="458B3DA4" w14:textId="77777777" w:rsidR="00290428" w:rsidRPr="0007080B" w:rsidRDefault="00290428" w:rsidP="00290428">
      <w:pPr>
        <w:pStyle w:val="ListParagraph"/>
        <w:numPr>
          <w:ilvl w:val="0"/>
          <w:numId w:val="20"/>
        </w:numPr>
        <w:contextualSpacing w:val="0"/>
        <w:rPr>
          <w:sz w:val="24"/>
          <w:szCs w:val="24"/>
        </w:rPr>
      </w:pPr>
      <w:r w:rsidRPr="0007080B">
        <w:rPr>
          <w:rFonts w:eastAsia="Times New Roman"/>
          <w:sz w:val="24"/>
          <w:szCs w:val="24"/>
        </w:rPr>
        <w:t xml:space="preserve">Program staff are assessing ongoing challenges, identifying opportunities to address those challenges, and carrying out next steps with colleagues and partners for each Level 2 theme and across them as well. </w:t>
      </w:r>
    </w:p>
    <w:p w14:paraId="09C8A3D5" w14:textId="77777777" w:rsidR="00290428" w:rsidRPr="00295FFC" w:rsidRDefault="00290428" w:rsidP="00290428">
      <w:pPr>
        <w:pStyle w:val="ListParagraph"/>
        <w:rPr>
          <w:rFonts w:ascii="Calibri" w:hAnsi="Calibri" w:cs="Calibri"/>
          <w:sz w:val="24"/>
          <w:szCs w:val="24"/>
        </w:rPr>
      </w:pPr>
    </w:p>
    <w:p w14:paraId="5DD59A28" w14:textId="55F124E4" w:rsidR="00A651A1" w:rsidRPr="00D40FA5" w:rsidRDefault="00A651A1" w:rsidP="00290428">
      <w:pPr>
        <w:rPr>
          <w:rFonts w:ascii="Calibri" w:hAnsi="Calibri" w:cs="Calibri"/>
          <w:sz w:val="24"/>
          <w:szCs w:val="24"/>
        </w:rPr>
      </w:pPr>
    </w:p>
    <w:sectPr w:rsidR="00A651A1" w:rsidRPr="00D40FA5" w:rsidSect="0064730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CA40D" w14:textId="77777777" w:rsidR="00207BBD" w:rsidRDefault="00207BBD" w:rsidP="00BB0C7E">
      <w:pPr>
        <w:spacing w:after="0"/>
      </w:pPr>
      <w:r>
        <w:separator/>
      </w:r>
    </w:p>
  </w:endnote>
  <w:endnote w:type="continuationSeparator" w:id="0">
    <w:p w14:paraId="442524D2" w14:textId="77777777" w:rsidR="00207BBD" w:rsidRDefault="00207BBD" w:rsidP="00BB0C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BF11B" w14:textId="77777777" w:rsidR="00207BBD" w:rsidRDefault="00207BBD" w:rsidP="00BB0C7E">
      <w:pPr>
        <w:spacing w:after="0"/>
      </w:pPr>
      <w:r>
        <w:separator/>
      </w:r>
    </w:p>
  </w:footnote>
  <w:footnote w:type="continuationSeparator" w:id="0">
    <w:p w14:paraId="7F4F1F14" w14:textId="77777777" w:rsidR="00207BBD" w:rsidRDefault="00207BBD" w:rsidP="00BB0C7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36B3"/>
    <w:multiLevelType w:val="hybridMultilevel"/>
    <w:tmpl w:val="AE3CDD5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E7E3780"/>
    <w:multiLevelType w:val="hybridMultilevel"/>
    <w:tmpl w:val="ACEA0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719CB"/>
    <w:multiLevelType w:val="hybridMultilevel"/>
    <w:tmpl w:val="51F22F82"/>
    <w:lvl w:ilvl="0" w:tplc="8F9E0B96">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11BFB"/>
    <w:multiLevelType w:val="hybridMultilevel"/>
    <w:tmpl w:val="F36E4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31E1A"/>
    <w:multiLevelType w:val="hybridMultilevel"/>
    <w:tmpl w:val="0638D6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7281C06"/>
    <w:multiLevelType w:val="hybridMultilevel"/>
    <w:tmpl w:val="0698581C"/>
    <w:lvl w:ilvl="0" w:tplc="719CEE2E">
      <w:start w:val="20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F5AB2"/>
    <w:multiLevelType w:val="hybridMultilevel"/>
    <w:tmpl w:val="72D00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E37A62"/>
    <w:multiLevelType w:val="hybridMultilevel"/>
    <w:tmpl w:val="154EB3EC"/>
    <w:lvl w:ilvl="0" w:tplc="6D6C2844">
      <w:start w:val="2"/>
      <w:numFmt w:val="bullet"/>
      <w:lvlText w:val="-"/>
      <w:lvlJc w:val="left"/>
      <w:pPr>
        <w:ind w:left="720" w:hanging="360"/>
      </w:pPr>
      <w:rPr>
        <w:rFonts w:ascii="Calibri" w:eastAsiaTheme="minorHAnsi" w:hAnsi="Calibri" w:cs="Calibri" w:hint="default"/>
        <w:b/>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705AF"/>
    <w:multiLevelType w:val="hybridMultilevel"/>
    <w:tmpl w:val="6984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7664B"/>
    <w:multiLevelType w:val="hybridMultilevel"/>
    <w:tmpl w:val="127EA8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5418E"/>
    <w:multiLevelType w:val="hybridMultilevel"/>
    <w:tmpl w:val="719E4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C4DA2"/>
    <w:multiLevelType w:val="hybridMultilevel"/>
    <w:tmpl w:val="08B42D44"/>
    <w:lvl w:ilvl="0" w:tplc="1BD636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E8099A"/>
    <w:multiLevelType w:val="hybridMultilevel"/>
    <w:tmpl w:val="36FC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4625F3"/>
    <w:multiLevelType w:val="hybridMultilevel"/>
    <w:tmpl w:val="0CC89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D68D9"/>
    <w:multiLevelType w:val="hybridMultilevel"/>
    <w:tmpl w:val="3C5C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E0568"/>
    <w:multiLevelType w:val="hybridMultilevel"/>
    <w:tmpl w:val="03EE2578"/>
    <w:lvl w:ilvl="0" w:tplc="9AF8B7BE">
      <w:start w:val="3"/>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4E1738"/>
    <w:multiLevelType w:val="hybridMultilevel"/>
    <w:tmpl w:val="E26E1C20"/>
    <w:lvl w:ilvl="0" w:tplc="A874F7C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3B29A9"/>
    <w:multiLevelType w:val="hybridMultilevel"/>
    <w:tmpl w:val="09BCB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A568B"/>
    <w:multiLevelType w:val="hybridMultilevel"/>
    <w:tmpl w:val="9D0EB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416511"/>
    <w:multiLevelType w:val="hybridMultilevel"/>
    <w:tmpl w:val="3046504A"/>
    <w:lvl w:ilvl="0" w:tplc="A874F7C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25267"/>
    <w:multiLevelType w:val="hybridMultilevel"/>
    <w:tmpl w:val="EDF8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FE6AD2"/>
    <w:multiLevelType w:val="hybridMultilevel"/>
    <w:tmpl w:val="AE0EC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036A41"/>
    <w:multiLevelType w:val="hybridMultilevel"/>
    <w:tmpl w:val="0C02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791447"/>
    <w:multiLevelType w:val="hybridMultilevel"/>
    <w:tmpl w:val="3EB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054F82"/>
    <w:multiLevelType w:val="hybridMultilevel"/>
    <w:tmpl w:val="092AD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635BE3"/>
    <w:multiLevelType w:val="hybridMultilevel"/>
    <w:tmpl w:val="B5BA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902F8B"/>
    <w:multiLevelType w:val="hybridMultilevel"/>
    <w:tmpl w:val="D66ED99E"/>
    <w:lvl w:ilvl="0" w:tplc="1BD636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20"/>
  </w:num>
  <w:num w:numId="4">
    <w:abstractNumId w:val="10"/>
  </w:num>
  <w:num w:numId="5">
    <w:abstractNumId w:val="0"/>
  </w:num>
  <w:num w:numId="6">
    <w:abstractNumId w:val="3"/>
  </w:num>
  <w:num w:numId="7">
    <w:abstractNumId w:val="21"/>
  </w:num>
  <w:num w:numId="8">
    <w:abstractNumId w:val="18"/>
  </w:num>
  <w:num w:numId="9">
    <w:abstractNumId w:val="8"/>
  </w:num>
  <w:num w:numId="10">
    <w:abstractNumId w:val="17"/>
  </w:num>
  <w:num w:numId="11">
    <w:abstractNumId w:val="4"/>
  </w:num>
  <w:num w:numId="12">
    <w:abstractNumId w:val="25"/>
  </w:num>
  <w:num w:numId="13">
    <w:abstractNumId w:val="1"/>
  </w:num>
  <w:num w:numId="14">
    <w:abstractNumId w:val="13"/>
  </w:num>
  <w:num w:numId="15">
    <w:abstractNumId w:val="24"/>
  </w:num>
  <w:num w:numId="16">
    <w:abstractNumId w:val="22"/>
  </w:num>
  <w:num w:numId="17">
    <w:abstractNumId w:val="14"/>
  </w:num>
  <w:num w:numId="18">
    <w:abstractNumId w:val="9"/>
  </w:num>
  <w:num w:numId="19">
    <w:abstractNumId w:val="12"/>
  </w:num>
  <w:num w:numId="20">
    <w:abstractNumId w:val="2"/>
  </w:num>
  <w:num w:numId="21">
    <w:abstractNumId w:val="7"/>
  </w:num>
  <w:num w:numId="22">
    <w:abstractNumId w:val="15"/>
  </w:num>
  <w:num w:numId="23">
    <w:abstractNumId w:val="5"/>
  </w:num>
  <w:num w:numId="24">
    <w:abstractNumId w:val="26"/>
  </w:num>
  <w:num w:numId="25">
    <w:abstractNumId w:val="11"/>
  </w:num>
  <w:num w:numId="26">
    <w:abstractNumId w:val="1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D48"/>
    <w:rsid w:val="000120AD"/>
    <w:rsid w:val="0002246D"/>
    <w:rsid w:val="00041F67"/>
    <w:rsid w:val="0005524C"/>
    <w:rsid w:val="0007617C"/>
    <w:rsid w:val="00077435"/>
    <w:rsid w:val="000975B0"/>
    <w:rsid w:val="000B27E7"/>
    <w:rsid w:val="00102FD4"/>
    <w:rsid w:val="001277CD"/>
    <w:rsid w:val="00193A19"/>
    <w:rsid w:val="00207BBD"/>
    <w:rsid w:val="00213E07"/>
    <w:rsid w:val="00254A6D"/>
    <w:rsid w:val="00262550"/>
    <w:rsid w:val="00290428"/>
    <w:rsid w:val="00291377"/>
    <w:rsid w:val="00295FFC"/>
    <w:rsid w:val="002978A4"/>
    <w:rsid w:val="002A3471"/>
    <w:rsid w:val="002C38B3"/>
    <w:rsid w:val="002C6CAE"/>
    <w:rsid w:val="002D0A5A"/>
    <w:rsid w:val="00312577"/>
    <w:rsid w:val="00420755"/>
    <w:rsid w:val="00441ED1"/>
    <w:rsid w:val="00483AC1"/>
    <w:rsid w:val="004B4D35"/>
    <w:rsid w:val="004E12A4"/>
    <w:rsid w:val="005944CC"/>
    <w:rsid w:val="00597B34"/>
    <w:rsid w:val="00620389"/>
    <w:rsid w:val="00647303"/>
    <w:rsid w:val="007179D5"/>
    <w:rsid w:val="007C624D"/>
    <w:rsid w:val="007F1439"/>
    <w:rsid w:val="0087127B"/>
    <w:rsid w:val="00917605"/>
    <w:rsid w:val="009D5B1F"/>
    <w:rsid w:val="009E583A"/>
    <w:rsid w:val="00A17688"/>
    <w:rsid w:val="00A630BB"/>
    <w:rsid w:val="00A651A1"/>
    <w:rsid w:val="00AC1469"/>
    <w:rsid w:val="00B3262C"/>
    <w:rsid w:val="00B82135"/>
    <w:rsid w:val="00B84E50"/>
    <w:rsid w:val="00B85203"/>
    <w:rsid w:val="00BB0C7E"/>
    <w:rsid w:val="00BB57FB"/>
    <w:rsid w:val="00BC7279"/>
    <w:rsid w:val="00C1305C"/>
    <w:rsid w:val="00C67AF9"/>
    <w:rsid w:val="00C9521D"/>
    <w:rsid w:val="00D40FA5"/>
    <w:rsid w:val="00D855E9"/>
    <w:rsid w:val="00DE26D3"/>
    <w:rsid w:val="00DF1DB6"/>
    <w:rsid w:val="00EF4891"/>
    <w:rsid w:val="00F06D48"/>
    <w:rsid w:val="00F840CD"/>
    <w:rsid w:val="00FD50E5"/>
    <w:rsid w:val="00FE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FBAF"/>
  <w15:chartTrackingRefBased/>
  <w15:docId w15:val="{8DE7020B-B263-4086-AF3B-C9352500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583A"/>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79D5"/>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A34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D3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D35"/>
    <w:rPr>
      <w:rFonts w:ascii="Segoe UI" w:hAnsi="Segoe UI" w:cs="Segoe UI"/>
      <w:sz w:val="18"/>
      <w:szCs w:val="18"/>
    </w:rPr>
  </w:style>
  <w:style w:type="paragraph" w:styleId="ListParagraph">
    <w:name w:val="List Paragraph"/>
    <w:aliases w:val="Bullet Paragraphs"/>
    <w:basedOn w:val="Normal"/>
    <w:link w:val="ListParagraphChar"/>
    <w:uiPriority w:val="34"/>
    <w:qFormat/>
    <w:rsid w:val="00B85203"/>
    <w:pPr>
      <w:spacing w:after="0"/>
      <w:ind w:left="720"/>
      <w:contextualSpacing/>
    </w:pPr>
  </w:style>
  <w:style w:type="character" w:customStyle="1" w:styleId="ListParagraphChar">
    <w:name w:val="List Paragraph Char"/>
    <w:aliases w:val="Bullet Paragraphs Char"/>
    <w:basedOn w:val="DefaultParagraphFont"/>
    <w:link w:val="ListParagraph"/>
    <w:uiPriority w:val="34"/>
    <w:locked/>
    <w:rsid w:val="00B85203"/>
  </w:style>
  <w:style w:type="character" w:styleId="Hyperlink">
    <w:name w:val="Hyperlink"/>
    <w:basedOn w:val="DefaultParagraphFont"/>
    <w:uiPriority w:val="99"/>
    <w:unhideWhenUsed/>
    <w:rsid w:val="00BB0C7E"/>
    <w:rPr>
      <w:color w:val="0563C1"/>
      <w:u w:val="single"/>
    </w:rPr>
  </w:style>
  <w:style w:type="paragraph" w:styleId="FootnoteText">
    <w:name w:val="footnote text"/>
    <w:basedOn w:val="Normal"/>
    <w:link w:val="FootnoteTextChar"/>
    <w:uiPriority w:val="99"/>
    <w:unhideWhenUsed/>
    <w:rsid w:val="00BB0C7E"/>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B0C7E"/>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BB0C7E"/>
    <w:rPr>
      <w:vertAlign w:val="superscript"/>
    </w:rPr>
  </w:style>
  <w:style w:type="character" w:customStyle="1" w:styleId="field-content">
    <w:name w:val="field-content"/>
    <w:basedOn w:val="DefaultParagraphFont"/>
    <w:rsid w:val="00BB0C7E"/>
  </w:style>
  <w:style w:type="character" w:styleId="UnresolvedMention">
    <w:name w:val="Unresolved Mention"/>
    <w:basedOn w:val="DefaultParagraphFont"/>
    <w:uiPriority w:val="99"/>
    <w:semiHidden/>
    <w:unhideWhenUsed/>
    <w:rsid w:val="009E583A"/>
    <w:rPr>
      <w:color w:val="605E5C"/>
      <w:shd w:val="clear" w:color="auto" w:fill="E1DFDD"/>
    </w:rPr>
  </w:style>
  <w:style w:type="character" w:customStyle="1" w:styleId="Heading1Char">
    <w:name w:val="Heading 1 Char"/>
    <w:basedOn w:val="DefaultParagraphFont"/>
    <w:link w:val="Heading1"/>
    <w:uiPriority w:val="9"/>
    <w:rsid w:val="009E583A"/>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1277CD"/>
    <w:rPr>
      <w:sz w:val="16"/>
      <w:szCs w:val="16"/>
    </w:rPr>
  </w:style>
  <w:style w:type="paragraph" w:styleId="CommentText">
    <w:name w:val="annotation text"/>
    <w:basedOn w:val="Normal"/>
    <w:link w:val="CommentTextChar"/>
    <w:uiPriority w:val="99"/>
    <w:unhideWhenUsed/>
    <w:rsid w:val="001277CD"/>
    <w:pPr>
      <w:spacing w:after="0"/>
    </w:pPr>
    <w:rPr>
      <w:sz w:val="20"/>
      <w:szCs w:val="20"/>
    </w:rPr>
  </w:style>
  <w:style w:type="character" w:customStyle="1" w:styleId="CommentTextChar">
    <w:name w:val="Comment Text Char"/>
    <w:basedOn w:val="DefaultParagraphFont"/>
    <w:link w:val="CommentText"/>
    <w:uiPriority w:val="99"/>
    <w:rsid w:val="001277CD"/>
    <w:rPr>
      <w:sz w:val="20"/>
      <w:szCs w:val="20"/>
    </w:rPr>
  </w:style>
  <w:style w:type="character" w:customStyle="1" w:styleId="Heading2Char">
    <w:name w:val="Heading 2 Char"/>
    <w:basedOn w:val="DefaultParagraphFont"/>
    <w:link w:val="Heading2"/>
    <w:uiPriority w:val="9"/>
    <w:rsid w:val="007179D5"/>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7179D5"/>
    <w:pPr>
      <w:spacing w:after="0"/>
    </w:pPr>
  </w:style>
  <w:style w:type="character" w:customStyle="1" w:styleId="NoSpacingChar">
    <w:name w:val="No Spacing Char"/>
    <w:basedOn w:val="DefaultParagraphFont"/>
    <w:link w:val="NoSpacing"/>
    <w:uiPriority w:val="1"/>
    <w:rsid w:val="007179D5"/>
  </w:style>
  <w:style w:type="character" w:customStyle="1" w:styleId="Heading3Char">
    <w:name w:val="Heading 3 Char"/>
    <w:basedOn w:val="DefaultParagraphFont"/>
    <w:link w:val="Heading3"/>
    <w:uiPriority w:val="9"/>
    <w:rsid w:val="002A3471"/>
    <w:rPr>
      <w:rFonts w:asciiTheme="majorHAnsi" w:eastAsiaTheme="majorEastAsia" w:hAnsiTheme="majorHAnsi" w:cstheme="majorBidi"/>
      <w:color w:val="1F3763" w:themeColor="accent1" w:themeShade="7F"/>
      <w:sz w:val="24"/>
      <w:szCs w:val="24"/>
    </w:rPr>
  </w:style>
  <w:style w:type="paragraph" w:customStyle="1" w:styleId="EndnoteText1">
    <w:name w:val="Endnote Text1"/>
    <w:basedOn w:val="Normal"/>
    <w:next w:val="EndnoteText"/>
    <w:link w:val="EndnoteTextChar"/>
    <w:uiPriority w:val="99"/>
    <w:semiHidden/>
    <w:unhideWhenUsed/>
    <w:rsid w:val="002A3471"/>
    <w:pPr>
      <w:spacing w:after="0"/>
    </w:pPr>
    <w:rPr>
      <w:sz w:val="20"/>
      <w:szCs w:val="20"/>
    </w:rPr>
  </w:style>
  <w:style w:type="character" w:customStyle="1" w:styleId="EndnoteTextChar">
    <w:name w:val="Endnote Text Char"/>
    <w:basedOn w:val="DefaultParagraphFont"/>
    <w:link w:val="EndnoteText1"/>
    <w:uiPriority w:val="99"/>
    <w:semiHidden/>
    <w:rsid w:val="002A3471"/>
    <w:rPr>
      <w:sz w:val="20"/>
      <w:szCs w:val="20"/>
    </w:rPr>
  </w:style>
  <w:style w:type="paragraph" w:styleId="EndnoteText">
    <w:name w:val="endnote text"/>
    <w:basedOn w:val="Normal"/>
    <w:link w:val="EndnoteTextChar1"/>
    <w:uiPriority w:val="99"/>
    <w:semiHidden/>
    <w:unhideWhenUsed/>
    <w:rsid w:val="002A3471"/>
    <w:pPr>
      <w:spacing w:after="0"/>
    </w:pPr>
    <w:rPr>
      <w:sz w:val="20"/>
      <w:szCs w:val="20"/>
    </w:rPr>
  </w:style>
  <w:style w:type="character" w:customStyle="1" w:styleId="EndnoteTextChar1">
    <w:name w:val="Endnote Text Char1"/>
    <w:basedOn w:val="DefaultParagraphFont"/>
    <w:link w:val="EndnoteText"/>
    <w:uiPriority w:val="99"/>
    <w:semiHidden/>
    <w:rsid w:val="002A3471"/>
    <w:rPr>
      <w:sz w:val="20"/>
      <w:szCs w:val="20"/>
    </w:rPr>
  </w:style>
  <w:style w:type="paragraph" w:styleId="CommentSubject">
    <w:name w:val="annotation subject"/>
    <w:basedOn w:val="CommentText"/>
    <w:next w:val="CommentText"/>
    <w:link w:val="CommentSubjectChar"/>
    <w:uiPriority w:val="99"/>
    <w:semiHidden/>
    <w:unhideWhenUsed/>
    <w:rsid w:val="00BC7279"/>
    <w:pPr>
      <w:spacing w:after="80"/>
    </w:pPr>
    <w:rPr>
      <w:b/>
      <w:bCs/>
    </w:rPr>
  </w:style>
  <w:style w:type="character" w:customStyle="1" w:styleId="CommentSubjectChar">
    <w:name w:val="Comment Subject Char"/>
    <w:basedOn w:val="CommentTextChar"/>
    <w:link w:val="CommentSubject"/>
    <w:uiPriority w:val="99"/>
    <w:semiHidden/>
    <w:rsid w:val="00BC7279"/>
    <w:rPr>
      <w:b/>
      <w:bCs/>
      <w:sz w:val="20"/>
      <w:szCs w:val="20"/>
    </w:rPr>
  </w:style>
  <w:style w:type="paragraph" w:styleId="Caption">
    <w:name w:val="caption"/>
    <w:basedOn w:val="Normal"/>
    <w:next w:val="Normal"/>
    <w:uiPriority w:val="35"/>
    <w:unhideWhenUsed/>
    <w:qFormat/>
    <w:rsid w:val="00BC7279"/>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DE26D3"/>
    <w:rPr>
      <w:color w:val="954F72" w:themeColor="followedHyperlink"/>
      <w:u w:val="single"/>
    </w:rPr>
  </w:style>
  <w:style w:type="paragraph" w:styleId="Subtitle">
    <w:name w:val="Subtitle"/>
    <w:basedOn w:val="Normal"/>
    <w:next w:val="Normal"/>
    <w:link w:val="SubtitleChar"/>
    <w:uiPriority w:val="11"/>
    <w:qFormat/>
    <w:rsid w:val="00483AC1"/>
    <w:pPr>
      <w:numPr>
        <w:ilvl w:val="1"/>
      </w:numPr>
      <w:spacing w:after="160" w:line="259" w:lineRule="auto"/>
      <w:ind w:left="720"/>
    </w:pPr>
    <w:rPr>
      <w:rFonts w:eastAsiaTheme="minorEastAsia"/>
      <w:color w:val="F2F2F2" w:themeColor="background1" w:themeShade="F2"/>
      <w:spacing w:val="15"/>
      <w:sz w:val="48"/>
    </w:rPr>
  </w:style>
  <w:style w:type="character" w:customStyle="1" w:styleId="SubtitleChar">
    <w:name w:val="Subtitle Char"/>
    <w:basedOn w:val="DefaultParagraphFont"/>
    <w:link w:val="Subtitle"/>
    <w:uiPriority w:val="11"/>
    <w:rsid w:val="00483AC1"/>
    <w:rPr>
      <w:rFonts w:eastAsiaTheme="minorEastAsia"/>
      <w:color w:val="F2F2F2" w:themeColor="background1" w:themeShade="F2"/>
      <w:spacing w:val="15"/>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fs.fed.us/restoration/CFLRP/results.shtml" TargetMode="External"/><Relationship Id="rId18" Type="http://schemas.openxmlformats.org/officeDocument/2006/relationships/hyperlink" Target="https://www.fs.fed.us/restoration/documents/cflrp/TREAT/TREAT-UserGuide-October2018.pdf" TargetMode="External"/><Relationship Id="rId3" Type="http://schemas.openxmlformats.org/officeDocument/2006/relationships/styles" Target="styles.xml"/><Relationship Id="rId21" Type="http://schemas.openxmlformats.org/officeDocument/2006/relationships/hyperlink" Target="https://ewp.uoregon.edu/sites/ewp.uoregon.edu/files/WP_83.pdf" TargetMode="External"/><Relationship Id="rId7" Type="http://schemas.openxmlformats.org/officeDocument/2006/relationships/endnotes" Target="endnotes.xml"/><Relationship Id="rId12" Type="http://schemas.openxmlformats.org/officeDocument/2006/relationships/hyperlink" Target="https://www.fs.fed.us/restoration/documents/cflrp/TREAT/TREAT-UserGuide-October2018.pdf" TargetMode="External"/><Relationship Id="rId17" Type="http://schemas.openxmlformats.org/officeDocument/2006/relationships/hyperlink" Target="https://www.fs.fed.us/restoration/CFLRP/resource-library.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s.fed.us/restoration/documents/cflrp/results/4fri/RegionalEconomicContributions4FRI-Dec2018.pdf" TargetMode="External"/><Relationship Id="rId20" Type="http://schemas.openxmlformats.org/officeDocument/2006/relationships/hyperlink" Target="http://ewp.uoregon.edu/sites/ewp.uoregon.edu/files/QG_RestorationOpps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s.fed.us/restoration/documents/cflrp/CFLRP_LessonsLearnedCompiled20201016.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wp.uoregon.edu/sites/ewp.uoregon.edu/files/WP_83.pdf" TargetMode="External"/><Relationship Id="rId23" Type="http://schemas.openxmlformats.org/officeDocument/2006/relationships/hyperlink" Target="https://www.fs.fed.us/restoration/CFLRP/resource-library.php" TargetMode="External"/><Relationship Id="rId10" Type="http://schemas.openxmlformats.org/officeDocument/2006/relationships/image" Target="media/image2.png"/><Relationship Id="rId19" Type="http://schemas.openxmlformats.org/officeDocument/2006/relationships/hyperlink" Target="https://www.fs.fed.us/restoration/CFLRP/results.shtml" TargetMode="External"/><Relationship Id="rId4" Type="http://schemas.openxmlformats.org/officeDocument/2006/relationships/settings" Target="settings.xml"/><Relationship Id="rId9" Type="http://schemas.openxmlformats.org/officeDocument/2006/relationships/hyperlink" Target="https://www.fs.fed.us/restoration/documents/cflrp/CFLRP_LessonsLearnedCompiled20201016.pdf" TargetMode="External"/><Relationship Id="rId14" Type="http://schemas.openxmlformats.org/officeDocument/2006/relationships/hyperlink" Target="http://ewp.uoregon.edu/sites/ewp.uoregon.edu/files/QG_RestorationOpps_0.pdf" TargetMode="External"/><Relationship Id="rId22" Type="http://schemas.openxmlformats.org/officeDocument/2006/relationships/hyperlink" Target="https://www.fs.fed.us/restoration/documents/cflrp/results/4fri/RegionalEconomicContributions4FRI-Dec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29375-D88C-4C4C-8E1A-D1C818EFA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CFLRP 10 Year Results and Lessons Learned Summary Series - Community Benefits</dc:title>
  <dc:subject/>
  <dc:creator>Logan, Brian -FS</dc:creator>
  <cp:keywords/>
  <dc:description/>
  <cp:lastModifiedBy>Bancroft, Kris -FS</cp:lastModifiedBy>
  <cp:revision>2</cp:revision>
  <dcterms:created xsi:type="dcterms:W3CDTF">2020-12-08T14:39:00Z</dcterms:created>
  <dcterms:modified xsi:type="dcterms:W3CDTF">2020-12-08T14:39:00Z</dcterms:modified>
</cp:coreProperties>
</file>